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f0cbe6a0e44e7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rPr>
          <w:u w:val="single"/>
        </w:rPr>
        <w:t xml:space="preserve">(b)</w:t>
      </w:r>
      <w:r>
        <w:t xml:space="preserve"> </w:t>
      </w:r>
      <w:r>
        <w:rPr>
          <w:u w:val="single"/>
        </w:rP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rPr>
          <w:u w:val="single"/>
        </w:rPr>
        <w:t xml:space="preserve">(c)</w:t>
      </w:r>
      <w:r>
        <w:t xml:space="preserve"> </w:t>
      </w:r>
      <w:r>
        <w:rPr>
          <w:u w:val="single"/>
        </w:rP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rPr>
          <w:u w:val="single"/>
        </w:rPr>
        <w:t xml:space="preserve">(d)</w:t>
      </w:r>
      <w:r>
        <w:t>[</w:t>
      </w:r>
      <w:r>
        <w:rPr>
          <w:strike w:val="true"/>
        </w:rPr>
        <w:t xml:space="preserve">(b)</w:t>
      </w:r>
      <w:r>
        <w:t>]</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rPr>
          <w:u w:val="single"/>
        </w:rPr>
        <w:t xml:space="preserve">(e)</w:t>
      </w:r>
      <w:r>
        <w:t>[</w:t>
      </w:r>
      <w:r>
        <w:rPr>
          <w:strike w:val="true"/>
        </w:rPr>
        <w:t xml:space="preserve">(c)</w:t>
      </w:r>
      <w:r>
        <w:t>]</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rPr>
          <w:u w:val="single"/>
        </w:rPr>
        <w:t xml:space="preserve">(f)</w:t>
      </w:r>
      <w:r>
        <w:t>[</w:t>
      </w:r>
      <w:r>
        <w:rPr>
          <w:strike w:val="true"/>
        </w:rPr>
        <w:t xml:space="preserve">(d)</w:t>
      </w:r>
      <w:r>
        <w:t>]</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w:t>
      </w:r>
      <w:r>
        <w:rPr>
          <w:u w:val="single"/>
        </w:rPr>
        <w:t xml:space="preserve">may</w:t>
      </w:r>
      <w:r>
        <w:t>[</w:t>
      </w:r>
      <w:r>
        <w:rPr>
          <w:strike w:val="true"/>
        </w:rPr>
        <w:t xml:space="preserve">shall</w:t>
      </w:r>
      <w:r>
        <w:t>]</w:t>
      </w:r>
      <w:r>
        <w:t xml:space="preserve"> be joined as a mutuel entry and single betting interest</w:t>
      </w:r>
      <w:r>
        <w:t>[</w:t>
      </w:r>
      <w:r>
        <w:rPr>
          <w:strike w:val="true"/>
        </w:rPr>
        <w:t xml:space="preserve">, except as established in subsection (5) of this section</w:t>
      </w:r>
      <w:r>
        <w:t>]</w:t>
      </w:r>
      <w:r>
        <w:t xml:space="preserve">.</w:t>
      </w:r>
    </w:p>
    <w:p>
      <w:pPr>
        <w:pStyle w:val="kar_subsection"/>
      </w:pPr>
      <w:r>
        <w:t xml:space="preserve">(3)</w:t>
      </w:r>
      <w:r>
        <w:t xml:space="preserve"> </w:t>
      </w:r>
      <w:r>
        <w:t xml:space="preserve">More than two (2) horses having common ties through ownership</w:t>
      </w:r>
      <w:r>
        <w:rPr>
          <w:u w:val="single"/>
        </w:rPr>
        <w:t xml:space="preserve"> or training</w:t>
      </w:r>
      <w:r>
        <w:t xml:space="preserve"> shall not be joined as a mutuel entry in a purse race. If making a double entry of horses owned wholly or in part by the same owner or spouse, </w:t>
      </w:r>
      <w:r>
        <w:rPr>
          <w:u w:val="single"/>
        </w:rPr>
        <w:t xml:space="preserve">or having common ties through training, </w:t>
      </w:r>
      <w:r>
        <w:t xml:space="preserve">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w:t>
      </w:r>
      <w:r>
        <w:rPr>
          <w:u w:val="single"/>
        </w:rPr>
        <w:t xml:space="preserve">or training </w:t>
      </w:r>
      <w:r>
        <w:t xml:space="preserve">shall not start in a purse race to the exclusion of a single entry</w:t>
      </w:r>
      <w:r>
        <w:t>[</w:t>
      </w:r>
      <w:r>
        <w:rPr>
          <w:strike w:val="true"/>
        </w:rPr>
        <w:t xml:space="preserve">, unless the horses have been uncoupled pursuant to subsection (5) of this section</w:t>
      </w:r>
      <w:r>
        <w:t>]</w:t>
      </w:r>
      <w:r>
        <w:t xml:space="preserve">.</w:t>
      </w:r>
    </w:p>
    <w:p>
      <w:pPr>
        <w:pStyle w:val="kar_paragraph"/>
      </w:pPr>
      <w:r>
        <w:t xml:space="preserve">(b)</w:t>
      </w:r>
      <w:r>
        <w:t xml:space="preserve"> </w:t>
      </w:r>
      <w:r>
        <w:t xml:space="preserve">In </w:t>
      </w:r>
      <w:r>
        <w:rPr>
          <w:u w:val="single"/>
        </w:rPr>
        <w:t xml:space="preserve">any</w:t>
      </w:r>
      <w:r>
        <w:t>[</w:t>
      </w:r>
      <w:r>
        <w:rPr>
          <w:strike w:val="true"/>
        </w:rPr>
        <w:t xml:space="preserve">a purse</w:t>
      </w:r>
      <w:r>
        <w:t>]</w:t>
      </w:r>
      <w:r>
        <w:t xml:space="preserve"> race, the racing secretary may uncouple entries having common ties through training </w:t>
      </w:r>
      <w:r>
        <w:rPr>
          <w:u w:val="single"/>
        </w:rPr>
        <w:t xml:space="preserve">or ownership </w:t>
      </w:r>
      <w:r>
        <w:t xml:space="preserve">to make two (2) separate betting interests.</w:t>
      </w:r>
    </w:p>
    <w:p>
      <w:pPr>
        <w:pStyle w:val="kar_subsection"/>
      </w:pPr>
      <w:r>
        <w:t>[</w:t>
      </w:r>
      <w:r>
        <w:rPr>
          <w:strike w:val="true"/>
        </w:rPr>
        <w:t xml:space="preserve">(5)</w:t>
      </w:r>
      <w:r>
        <w:t>]</w:t>
      </w:r>
      <w:r>
        <w:t xml:space="preserve"> </w:t>
      </w:r>
      <w:r>
        <w:t>[</w:t>
      </w:r>
      <w:r>
        <w:rPr>
          <w:strike w:val="true"/>
        </w:rPr>
        <w:t xml:space="preserve">In any stakes race with added money of $50,000 or more, the racing secretary may uncouple mutuel entries of horses sharing common ties through training or ownership or both.</w:t>
      </w:r>
      <w:r>
        <w:t>]</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w:t>
      </w:r>
      <w:r>
        <w:rPr>
          <w:u w:val="single"/>
        </w:rPr>
        <w:t xml:space="preserve"> or ownership</w:t>
      </w:r>
      <w:r>
        <w:t xml:space="preserve">,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March 14, 2022</w:t>
      </w:r>
    </w:p>
    <w:p>
      <w:pPr>
        <w:pStyle w:val="kar_filed"/>
      </w:pPr>
      <w:r>
        <w:t xml:space="preserve">FILED WITH LRC: March 15, 2022 at 11:00 a.m.</w:t>
      </w:r>
    </w:p>
    <w:p>
      <w:pPr>
        <w:pStyle w:val="kar_normal"/>
      </w:pPr>
      <w:r>
        <w:t xml:space="preserve"/>
      </w:r>
    </w:p>
    <w:p>
      <w:pPr>
        <w:pStyle w:val="kar_comment_period"/>
      </w:pPr>
      <w:r>
        <w:t xml:space="preserve">PUBLIC HEARING AND PUBLIC COMMENT PERIOD: A public hearing on this administrative regulation shall be held at 10:00 a.m. on May 24,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entries, subscriptions and declarations in thoroughbred and other flat racing. These rules provide an orderly means of determining which horses will be considered eligible to enter a race.</w:t>
      </w:r>
    </w:p>
    <w:p>
      <w:pPr>
        <w:pStyle w:val="kar_normal"/>
        <w:ind w:left="576"/>
      </w:pPr>
      <w:r>
        <w:t xml:space="preserve">(b) The necessity of this administrative regulation:</w:t>
      </w:r>
    </w:p>
    <w:p>
      <w:pPr>
        <w:pStyle w:val="kar_normal"/>
        <w:ind w:left="720"/>
      </w:pPr>
      <w:r>
        <w:t xml:space="preserve">This administrative regulation is necessary to provide specific requirements and methods for entries, subscriptions and declarations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entries, subscriptions and declarations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entries, subscriptions and declarations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sets forth additional procedures for making entries, particularly when a horse has not started in the previous ninety (90) or one-hundred eighty (180) days, and when horses have common ties through training or ownership.</w:t>
      </w:r>
    </w:p>
    <w:p>
      <w:pPr>
        <w:pStyle w:val="kar_normal"/>
        <w:ind w:left="576"/>
      </w:pPr>
      <w:r>
        <w:t xml:space="preserve">(b) The necessity of the amendment to this administrative regulation:</w:t>
      </w:r>
    </w:p>
    <w:p>
      <w:pPr>
        <w:pStyle w:val="kar_normal"/>
        <w:ind w:left="720"/>
      </w:pPr>
      <w:r>
        <w:t xml:space="preserve">The amendment is necessary to assist the commission in evaluating horses for soundness prior to a race and to add provide procedures on entries when horses have common ties through ownership or training.</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amendment prescribes additional conditions relating to entries, subscriptions and declarations in thoroughbred and other flat racing.</w:t>
      </w:r>
    </w:p>
    <w:p>
      <w:pPr>
        <w:pStyle w:val="kar_normal"/>
        <w:ind w:left="576"/>
      </w:pPr>
      <w:r>
        <w:t xml:space="preserve">(d) How the amendment will assist in the effective administration of the statutes:</w:t>
      </w:r>
    </w:p>
    <w:p>
      <w:pPr>
        <w:pStyle w:val="kar_normal"/>
        <w:ind w:left="720"/>
      </w:pPr>
      <w:r>
        <w:t xml:space="preserve">This amendment sets forth requirements and rules concerning entries, subscriptions and declarations in thoroughbred and other flat racing that enhance the integrity and safety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licensed race tracks, and all individual participants in horse racing, are potentially affected by this administrative regulation’s establishment of fundamental rules pertaining to the conduct of racing. In the year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and veterinarians, will be required to adhere to the requirements and rules set forth in this administrative regulation pertaining to entries, subscriptions and declarations in thoroughbred and other flat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that enhance the integrity and safety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budget of the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are funding are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51b6f69b744a22" /><Relationship Type="http://schemas.openxmlformats.org/officeDocument/2006/relationships/settings" Target="/word/settings.xml" Id="Rbee875a27e804977" /></Relationships>
</file>