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55fb6a45154530" /></Relationships>
</file>

<file path=word/document.xml><?xml version="1.0" encoding="utf-8"?>
<w:document xmlns:w="http://schemas.openxmlformats.org/wordprocessingml/2006/main">
  <w:body>
    <w:p>
      <w:pPr>
        <w:pStyle w:val="kar_citation"/>
      </w:pPr>
      <w:r>
        <w:t>803 KAR 1:061.</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the official interpretations of the Department of Workplace Standards, Kentucky Labor Cabinet, with respect to the meaning and application of the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 sharing plan" means any person or arrangement that provides for the distribution by the employer to the employees of their respective shares of profits.</w:t>
      </w:r>
    </w:p>
    <w:p>
      <w:pPr>
        <w:pStyle w:val="kar_subsection"/>
      </w:pPr>
      <w:r>
        <w:t xml:space="preserve">(2)</w:t>
      </w:r>
      <w:r>
        <w:t xml:space="preserve"> </w:t>
      </w:r>
      <w:r>
        <w:t xml:space="preserve">"Profit sharing trust" means any program or arrangement that provides for the irrevocable deposit by the employer of the employee's distributive shares of profits with a trustee for deferred distribution to the employees of their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on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 The beginning of the workweek may be changed if the change is intended to be static and not designed to evade overtime requirements. 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is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are as established in 29 C.F.R. 778.112.</w:t>
      </w:r>
    </w:p>
    <w:p>
      <w:pPr>
        <w:pStyle w:val="kar_subsection"/>
      </w:pPr>
      <w:r>
        <w:t xml:space="preserve">(4)</w:t>
      </w:r>
      <w:r>
        <w:t xml:space="preserve"> </w:t>
      </w:r>
      <w:r>
        <w:t xml:space="preserve">Salaried employee. The overtime pay criteria for salaried employees is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are as established in 29 C.F.R. 778.116.</w:t>
      </w:r>
    </w:p>
    <w:p>
      <w:pPr>
        <w:pStyle w:val="kar_subsection"/>
      </w:pPr>
      <w:r>
        <w:t xml:space="preserve">(7)</w:t>
      </w:r>
      <w:r>
        <w:t xml:space="preserve"> </w:t>
      </w:r>
      <w:r>
        <w:t xml:space="preserve">Commission payments. The overtime pay criteria for commission payments is as established in 29 C.F.R. 778.117 through 778.121.</w:t>
      </w:r>
    </w:p>
    <w:p>
      <w:pPr>
        <w:pStyle w:val="kar_subsection"/>
      </w:pPr>
      <w:r>
        <w:t xml:space="preserve">(8)</w:t>
      </w:r>
      <w:r>
        <w:t xml:space="preserve"> </w:t>
      </w:r>
      <w:r>
        <w:t xml:space="preserve">Other methods of determining the regular hourly rate shall be allowed if they provide for each employee employed by an employer to be paid a rate of not less than one and one-half (1 1/2) times the hourly rate at which the employee is employed and the method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 To qualify for this exclusion, the bonus shall be actually a gift or in the nature of a gift. If it is measured by hours worked, production, or efficiency, the payment shall be considered geared towards wages and hours during the bonus period and shall not be considered in the nature of a gift. If the payment is so substantial that it can be assumed that employees consider it a part of the wages for which they work, the bonus shall not be considered to be in the nature of a gift. If the bonus is paid pursuant to contract, it shall not be in the nature of a gift;</w:t>
      </w:r>
    </w:p>
    <w:p>
      <w:pPr>
        <w:pStyle w:val="kar_subsection"/>
      </w:pPr>
      <w:r>
        <w:t xml:space="preserve">(2)</w:t>
      </w:r>
      <w:r>
        <w:t xml:space="preserve"> </w:t>
      </w:r>
      <w:r>
        <w:t xml:space="preserve">Payments made for an occasional period during which time worked is not being performed due to vacation, holiday, illness, failure of the employer to provide sufficient work or other similar cause, reasonable payments for traveling expenses or other expenses incurred by an employee in the furtherance of the employer's interests and properly reimbursable by the employer, and other similar payments to an employee that are not made as compensation for the employee's hours worked in any workweek, 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bonda fide thrift or savings plan. The sums shall not, however, be credited toward overtime compensation due pursuant to KRS 337.285. In order for a bonus to qualify for exclusion as a discretionary bonus the employer shall retain discretion both as to the fact of payment and as to the amount until a time quite close to the end of the period for which the bonus is paid. The sum to be paid as a bonus shall be determined by the employer without prior promise or agreement. The employee shall not have a contract right, express or implied, to any amount. If the employer promises in advance to pay a bonus the employer shall have abandoned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or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which is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their respective shares of profits after the determination of the amount of profits to be distributed, or for the irrevocable deposit by the employer of the employee's distributive shares of profits with a trustee for deferred distribution to the employees of their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are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it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their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base rate of pay, or length of service of the employee.</w:t>
      </w:r>
    </w:p>
    <w:p>
      <w:pPr>
        <w:pStyle w:val="kar_paragraph"/>
      </w:pPr>
      <w:r>
        <w:t xml:space="preserve">(d)</w:t>
      </w:r>
      <w:r>
        <w:t xml:space="preserve"> </w:t>
      </w:r>
      <w:r>
        <w:t xml:space="preserve">The employer's total contribution in any year shall not exceed fifteen (15) percent of the participating employees' total earnings during the year. In addition, 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are as established in 29 C.F.R. 778.215.</w:t>
      </w:r>
    </w:p>
    <w:p>
      <w:pPr>
        <w:pStyle w:val="kar_section"/>
      </w:pPr>
      <w:r>
        <w:t xml:space="preserve">Section 13.</w:t>
      </w:r>
      <w:r>
        <w:t xml:space="preserve"> </w:t>
      </w:r>
      <w:r>
        <w:t xml:space="preserve">Overlapping When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 A change in the workweek necessarily results in a situation in which one (1) or more hours or days fall in both the old workweek as previously constituted and the new workweek. 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criteria for the computation of overtime due for overlapping workweeks is as established in 29 C.F.R. 778.301 and 778.302(a) and (b).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d750962f64b2a" /><Relationship Type="http://schemas.openxmlformats.org/officeDocument/2006/relationships/settings" Target="/word/settings.xml" Id="R0b57ecc95ff540be" /></Relationships>
</file>