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62b07936844027" /></Relationships>
</file>

<file path=word/document.xml><?xml version="1.0" encoding="utf-8"?>
<w:document xmlns:w="http://schemas.openxmlformats.org/wordprocessingml/2006/main">
  <w:body>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issue administrative regulations permitting workers with disabilities and work activities centers' employees to be employed at less than the established minimum wage. KRS 337.010(2)(a)5 requires that the wages be set for a period of time fixed by the commissioner.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and/or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t xml:space="preserve">No employer shall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commissioner will not issue certificates for persons whose employment is subject to the federal minimum wage provisions of the Fair Labor Standards Act of 1938, as amended (FLSA). For these persons the employer shall request a certificate from the U.S. Department of Labor. Valid certificates issued by the U.S. Department of Labor, Wage Hour Division, which authorize rates of pay lower than the applicable Kentucky minimum wage, will be accepted as authority to pay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are published in Title 29, Part 525 of the Code of Federal Regulations. For state certification the commissioner will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will revoke any authority for payment of less than the minimum wage provided by KRS 337.275.</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Application for Kentucky special minimum wage certificates for workers with disabilities and work activities center employees will be submitted to the Division of Wages and Hours, Kentucky Department of Workplace Standards, Kentucky Labor Cabinet, 500 Mero Street, 3rd floor, Frankfort, Kentucky 40601 and shall be accompanied by the completed federal special minimum wage certificate applications as appropriate under Title 29, Part 525 of the Code of Federal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78ec5f5ff4f45" /><Relationship Type="http://schemas.openxmlformats.org/officeDocument/2006/relationships/settings" Target="/word/settings.xml" Id="R18bc55bb0be64807" /></Relationships>
</file>