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9bca9df9d8e4952"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Community Based Services</w:t>
      </w:r>
    </w:p>
    <w:p>
      <w:pPr>
        <w:pStyle w:val="kar_markup_header"/>
      </w:pPr>
      <w:r>
        <w:t xml:space="preserve">Division of Protection and Permanency</w:t>
      </w:r>
    </w:p>
    <w:p>
      <w:pPr>
        <w:pStyle w:val="kar_markup_header"/>
        <w:ind w:firstLine="0"/>
      </w:pPr>
      <w:r>
        <w:t>(Amended After Comments)</w:t>
      </w:r>
    </w:p>
    <w:p>
      <w:pPr>
        <w:pStyle w:val="kar_citation"/>
      </w:pPr>
      <w:r>
        <w:t>922 KAR 1:470.</w:t>
      </w:r>
      <w:r>
        <w:t xml:space="preserve"> </w:t>
      </w:r>
      <w:r>
        <w:t xml:space="preserve">Central registry.</w:t>
      </w:r>
    </w:p>
    <w:p>
      <w:pPr>
        <w:pStyle w:val="kar_markup_metadata"/>
      </w:pPr>
      <w:r>
        <w:t xml:space="preserve">RELATES TO: </w:t>
      </w:r>
      <w:r>
        <w:t xml:space="preserve">KRS 17.165(6), 61.876, 160.151, 160.380,</w:t>
      </w:r>
      <w:r>
        <w:t xml:space="preserve">[</w:t>
      </w:r>
      <w:r>
        <w:rPr>
          <w:strike w:val="true"/>
        </w:rPr>
        <w:t xml:space="preserve"> 194A.050(1),</w:t>
      </w:r>
      <w:r>
        <w:t xml:space="preserve">]</w:t>
      </w:r>
      <w:r>
        <w:t xml:space="preserve"> 194A.380-194A.383, 199.466, 199.896(19), 199.8982(1)(a), 211.684(1)(a), 403.352, 600.020(1), (40), (61), (62), </w:t>
      </w:r>
      <w:r>
        <w:t xml:space="preserve">[</w:t>
      </w:r>
      <w:r>
        <w:rPr>
          <w:strike w:val="true"/>
        </w:rPr>
        <w:t xml:space="preserve">605.130(7), 605.150(1),</w:t>
      </w:r>
      <w:r>
        <w:t xml:space="preserve">]</w:t>
      </w:r>
      <w:r>
        <w:t xml:space="preserve"> 620.050, 620.051, 625.050-625.120, 42 U.S.C. 671(a)(20), 5106a(b), 9858f</w:t>
      </w:r>
    </w:p>
    <w:p>
      <w:pPr>
        <w:pStyle w:val="kar_markup_metadata"/>
      </w:pPr>
      <w:r>
        <w:t xml:space="preserve">STATUTORY AUTHORITY: </w:t>
      </w:r>
      <w:r>
        <w:t xml:space="preserve">KRS 194A.050(1), 605.130(7), 605.150(1), 620.051(2)</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KRS 605.150(1) authorizes the cabinet to promulgate administrative regulations to implement the provisions of KRS Chapter 605, including KRS 605.130(7), which authorizes the cabinet to perform services necessary for the protection of children. KRS 620.051(2) requires the cabinet to promulgate administrative regulations to establish the central registry and the process for a background check of the cabinet's child abuse and neglect records. This administrative regulation establishes the procedure by which the cabinet shall conduct a child abuse or neglect check using information in the central registry.</w:t>
      </w:r>
    </w:p>
    <w:p>
      <w:pPr>
        <w:pStyle w:val="kar_section"/>
      </w:pPr>
      <w:r>
        <w:t xml:space="preserve">Section 1.</w:t>
      </w:r>
      <w:r>
        <w:t xml:space="preserve"> </w:t>
      </w:r>
      <w:r>
        <w:t xml:space="preserve">Definitions.</w:t>
      </w:r>
    </w:p>
    <w:p>
      <w:pPr>
        <w:pStyle w:val="kar_subsection"/>
      </w:pPr>
      <w:r>
        <w:t xml:space="preserve">(1)</w:t>
      </w:r>
      <w:r>
        <w:t xml:space="preserve"> </w:t>
      </w:r>
      <w:r>
        <w:t xml:space="preserve">"Abused or neglected child" is defined by KRS 600.020(1).</w:t>
      </w:r>
    </w:p>
    <w:p>
      <w:pPr>
        <w:pStyle w:val="kar_subsection"/>
      </w:pPr>
      <w:r>
        <w:t xml:space="preserve">(2)</w:t>
      </w:r>
      <w:r>
        <w:t xml:space="preserve"> </w:t>
      </w:r>
      <w:r>
        <w:t xml:space="preserve">"Administrative review" means that the status of the individual subject to the central registry check is pending the outcome of an:</w:t>
      </w:r>
    </w:p>
    <w:p>
      <w:pPr>
        <w:pStyle w:val="kar_paragraph"/>
      </w:pPr>
      <w:r>
        <w:t xml:space="preserve">(a)</w:t>
      </w:r>
      <w:r>
        <w:t xml:space="preserve"> </w:t>
      </w:r>
      <w:r>
        <w:t xml:space="preserve">Investigation or assessment in accordance with 922 KAR 1:330; or</w:t>
      </w:r>
    </w:p>
    <w:p>
      <w:pPr>
        <w:pStyle w:val="kar_paragraph"/>
      </w:pPr>
      <w:r>
        <w:t xml:space="preserve">(b)</w:t>
      </w:r>
      <w:r>
        <w:t xml:space="preserve"> </w:t>
      </w:r>
      <w:r>
        <w:t xml:space="preserve">Appeal concerning a cabinet substantiated finding of child abuse or neglect.</w:t>
      </w:r>
    </w:p>
    <w:p>
      <w:pPr>
        <w:pStyle w:val="kar_subsection"/>
      </w:pPr>
      <w:r>
        <w:t xml:space="preserve">(3)</w:t>
      </w:r>
      <w:r>
        <w:t xml:space="preserve"> </w:t>
      </w:r>
      <w:r>
        <w:t xml:space="preserve">"Child fatality" is defined by KRS 211.684(1)(a).</w:t>
      </w:r>
    </w:p>
    <w:p>
      <w:pPr>
        <w:pStyle w:val="kar_subsection"/>
      </w:pPr>
      <w:r>
        <w:t xml:space="preserve">(4)</w:t>
      </w:r>
      <w:r>
        <w:t xml:space="preserve"> </w:t>
      </w:r>
      <w:r>
        <w:t xml:space="preserve">"Near fatality" is defined by KRS 600.020(40) and 42 U.S.C. 5106a(b)(4)(A).</w:t>
      </w:r>
    </w:p>
    <w:p>
      <w:pPr>
        <w:pStyle w:val="kar_subsection"/>
      </w:pPr>
      <w:r>
        <w:t xml:space="preserve">(5)</w:t>
      </w:r>
      <w:r>
        <w:t xml:space="preserve"> </w:t>
      </w:r>
      <w:r>
        <w:t xml:space="preserve">"Sexual abuse" is defined by KRS 600.020(61).</w:t>
      </w:r>
    </w:p>
    <w:p>
      <w:pPr>
        <w:pStyle w:val="kar_subsection"/>
      </w:pPr>
      <w:r>
        <w:t xml:space="preserve">(6)</w:t>
      </w:r>
      <w:r>
        <w:t xml:space="preserve"> </w:t>
      </w:r>
      <w:r>
        <w:t xml:space="preserve">"Sexual exploitation" is defined by KRS 600.020(62).</w:t>
      </w:r>
    </w:p>
    <w:p>
      <w:pPr>
        <w:pStyle w:val="kar_section"/>
      </w:pPr>
      <w:r>
        <w:t xml:space="preserve">Section 2.</w:t>
      </w:r>
      <w:r>
        <w:t xml:space="preserve"> </w:t>
      </w:r>
      <w:r>
        <w:t xml:space="preserve">Central Registry.</w:t>
      </w:r>
    </w:p>
    <w:p>
      <w:pPr>
        <w:pStyle w:val="kar_subsection"/>
      </w:pPr>
      <w:r>
        <w:t xml:space="preserve">(1)</w:t>
      </w:r>
      <w:r>
        <w:t xml:space="preserve"> </w:t>
      </w:r>
      <w:r>
        <w:t xml:space="preserve">The central registry shall include the name of each individual:</w:t>
      </w:r>
    </w:p>
    <w:p>
      <w:pPr>
        <w:pStyle w:val="kar_paragraph"/>
      </w:pPr>
      <w:r>
        <w:t xml:space="preserve">(a)</w:t>
      </w:r>
      <w:r>
        <w:t xml:space="preserve"> </w:t>
      </w:r>
      <w:r>
        <w:t xml:space="preserve">Who has been found by the cabinet to have abused or neglected a child on or after October 1, 1998; and</w:t>
      </w:r>
    </w:p>
    <w:p>
      <w:pPr>
        <w:pStyle w:val="kar_paragraph"/>
      </w:pPr>
      <w:r>
        <w:t xml:space="preserve">(b)</w:t>
      </w:r>
      <w:r>
        <w:t xml:space="preserve"> </w:t>
      </w:r>
      <w:r>
        <w:t xml:space="preserve"> </w:t>
      </w:r>
    </w:p>
    <w:p>
      <w:pPr>
        <w:pStyle w:val="kar_subparagraph"/>
      </w:pPr>
      <w:r>
        <w:t xml:space="preserve">1.</w:t>
      </w:r>
      <w:r>
        <w:t xml:space="preserve"> </w:t>
      </w:r>
      <w:r>
        <w:t xml:space="preserve">Who waived the right to appeal a substantiated finding of child abuse or neglect in accordance with:</w:t>
      </w:r>
    </w:p>
    <w:p>
      <w:pPr>
        <w:pStyle w:val="kar_clause"/>
      </w:pPr>
      <w:r>
        <w:t xml:space="preserve">a.</w:t>
      </w:r>
      <w:r>
        <w:t xml:space="preserve"> </w:t>
      </w:r>
      <w:r>
        <w:t xml:space="preserve">922 KAR 1:480;</w:t>
      </w:r>
    </w:p>
    <w:p>
      <w:pPr>
        <w:pStyle w:val="kar_clause"/>
      </w:pPr>
      <w:r>
        <w:t xml:space="preserve">b.</w:t>
      </w:r>
      <w:r>
        <w:t xml:space="preserve"> </w:t>
      </w:r>
      <w:r>
        <w:t xml:space="preserve">922 KAR 1:320; or</w:t>
      </w:r>
    </w:p>
    <w:p>
      <w:pPr>
        <w:pStyle w:val="kar_clause"/>
      </w:pPr>
      <w:r>
        <w:t xml:space="preserve">c.</w:t>
      </w:r>
      <w:r>
        <w:t xml:space="preserve"> </w:t>
      </w:r>
      <w:r>
        <w:t xml:space="preserve">922 KAR 1:330, Section 11; or</w:t>
      </w:r>
    </w:p>
    <w:p>
      <w:pPr>
        <w:pStyle w:val="kar_subparagraph"/>
      </w:pPr>
      <w:r>
        <w:t xml:space="preserve">2.</w:t>
      </w:r>
      <w:r>
        <w:t xml:space="preserve"> </w:t>
      </w:r>
      <w:r>
        <w:t xml:space="preserve">Whose substantiated incident was upheld upon appeal.</w:t>
      </w:r>
    </w:p>
    <w:p>
      <w:pPr>
        <w:pStyle w:val="kar_subsection"/>
      </w:pPr>
      <w:r>
        <w:t xml:space="preserve">(2)</w:t>
      </w:r>
      <w:r>
        <w:t xml:space="preserve"> </w:t>
      </w:r>
      <w:r>
        <w:t xml:space="preserve">Each name shall:</w:t>
      </w:r>
    </w:p>
    <w:p>
      <w:pPr>
        <w:pStyle w:val="kar_paragraph"/>
      </w:pPr>
      <w:r>
        <w:t xml:space="preserve">(a)</w:t>
      </w:r>
      <w:r>
        <w:t xml:space="preserve"> </w:t>
      </w:r>
      <w:r>
        <w:t xml:space="preserve">Remain on the central registry for a period of at least seven (7) years; and</w:t>
      </w:r>
    </w:p>
    <w:p>
      <w:pPr>
        <w:pStyle w:val="kar_paragraph"/>
      </w:pPr>
      <w:r>
        <w:t xml:space="preserve">(b)</w:t>
      </w:r>
      <w:r>
        <w:t xml:space="preserve"> </w:t>
      </w:r>
      <w:r>
        <w:t xml:space="preserve">Be removed from the central registry after a period of seven (7) years if:</w:t>
      </w:r>
    </w:p>
    <w:p>
      <w:pPr>
        <w:pStyle w:val="kar_subparagraph"/>
      </w:pPr>
      <w:r>
        <w:t xml:space="preserve">1.</w:t>
      </w:r>
      <w:r>
        <w:t xml:space="preserve"> </w:t>
      </w:r>
      <w:r>
        <w:t xml:space="preserve">No additional incident of child abuse or neglect has been substantiated by the cabinet since the time of the incident for which the individual's name was placed on the registry; and</w:t>
      </w:r>
    </w:p>
    <w:p>
      <w:pPr>
        <w:pStyle w:val="kar_subparagraph"/>
      </w:pPr>
      <w:r>
        <w:t xml:space="preserve">2.</w:t>
      </w:r>
      <w:r>
        <w:t xml:space="preserve"> </w:t>
      </w:r>
      <w:r>
        <w:t xml:space="preserve">Cabinet records indicate that the incident for which the individual's name was placed on the registry did not relate to:</w:t>
      </w:r>
    </w:p>
    <w:p>
      <w:pPr>
        <w:pStyle w:val="kar_clause"/>
      </w:pPr>
      <w:r>
        <w:t xml:space="preserve">a.</w:t>
      </w:r>
      <w:r>
        <w:t xml:space="preserve"> </w:t>
      </w:r>
      <w:r>
        <w:t xml:space="preserve">Sexual abuse or sexual exploitation of a child;</w:t>
      </w:r>
    </w:p>
    <w:p>
      <w:pPr>
        <w:pStyle w:val="kar_clause"/>
      </w:pPr>
      <w:r>
        <w:t xml:space="preserve">b.</w:t>
      </w:r>
      <w:r>
        <w:t xml:space="preserve"> </w:t>
      </w:r>
      <w:r>
        <w:t xml:space="preserve">A child fatality related to abuse or neglect;</w:t>
      </w:r>
    </w:p>
    <w:p>
      <w:pPr>
        <w:pStyle w:val="kar_clause"/>
      </w:pPr>
      <w:r>
        <w:t xml:space="preserve">c.</w:t>
      </w:r>
      <w:r>
        <w:t xml:space="preserve"> </w:t>
      </w:r>
      <w:r>
        <w:t xml:space="preserve">A near fatality related to abuse or neglect; or</w:t>
      </w:r>
    </w:p>
    <w:p>
      <w:pPr>
        <w:pStyle w:val="kar_clause"/>
      </w:pPr>
      <w:r>
        <w:t xml:space="preserve">d.</w:t>
      </w:r>
      <w:r>
        <w:t xml:space="preserve"> </w:t>
      </w:r>
      <w:r>
        <w:t xml:space="preserve">Involuntary termination of parental rights in accordance with KRS 625.050 through 625.120.</w:t>
      </w:r>
    </w:p>
    <w:p>
      <w:pPr>
        <w:pStyle w:val="kar_subsection"/>
      </w:pPr>
      <w:r>
        <w:t xml:space="preserve">(3)</w:t>
      </w:r>
      <w:r>
        <w:t xml:space="preserve"> </w:t>
      </w:r>
      <w:r>
        <w:t xml:space="preserve">This administrative regulation shall not apply to cabinet background checks required by 922 KAR 1:490.</w:t>
      </w:r>
    </w:p>
    <w:p>
      <w:pPr>
        <w:pStyle w:val="kar_subsection"/>
      </w:pPr>
      <w:r>
        <w:t xml:space="preserve">(4)</w:t>
      </w:r>
      <w:r>
        <w:t xml:space="preserve"> </w:t>
      </w:r>
      <w:r>
        <w:t xml:space="preserve">This administrative regulation shall not limit the cabinet's ability to disclose information in accordance with KRS 620.050 and 42 U.S.C. 5106a(b)(2)(B)(viii), (ix), or (x).</w:t>
      </w:r>
    </w:p>
    <w:p>
      <w:pPr>
        <w:pStyle w:val="kar_section"/>
      </w:pPr>
      <w:r>
        <w:t xml:space="preserve">Section 3.</w:t>
      </w:r>
      <w:r>
        <w:t xml:space="preserve"> </w:t>
      </w:r>
      <w:r>
        <w:t xml:space="preserve">Procedure for Requesting a Central Registry Check.</w:t>
      </w:r>
    </w:p>
    <w:p>
      <w:pPr>
        <w:pStyle w:val="kar_subsection"/>
      </w:pPr>
      <w:r>
        <w:t xml:space="preserve">(1)</w:t>
      </w:r>
      <w:r>
        <w:t xml:space="preserve"> </w:t>
      </w:r>
      <w:r>
        <w:t xml:space="preserve">If information from the central registry is required </w:t>
      </w:r>
      <w:r>
        <w:rPr>
          <w:b/>
          <w:u w:val="single"/>
        </w:rPr>
        <w:t xml:space="preserve">or authorized </w:t>
      </w:r>
      <w:r>
        <w:t xml:space="preserve">by law, a request for a central registry check may be made by an:</w:t>
      </w:r>
    </w:p>
    <w:p>
      <w:pPr>
        <w:pStyle w:val="kar_paragraph"/>
      </w:pPr>
      <w:r>
        <w:t xml:space="preserve">(a)</w:t>
      </w:r>
      <w:r>
        <w:t xml:space="preserve"> </w:t>
      </w:r>
      <w:r>
        <w:t xml:space="preserve">Individual;</w:t>
      </w:r>
    </w:p>
    <w:p>
      <w:pPr>
        <w:pStyle w:val="kar_paragraph"/>
      </w:pPr>
      <w:r>
        <w:t xml:space="preserve">(b)</w:t>
      </w:r>
      <w:r>
        <w:t xml:space="preserve"> </w:t>
      </w:r>
      <w:r>
        <w:t xml:space="preserve">Organization; or</w:t>
      </w:r>
    </w:p>
    <w:p>
      <w:pPr>
        <w:pStyle w:val="kar_paragraph"/>
      </w:pPr>
      <w:r>
        <w:t xml:space="preserve">(c)</w:t>
      </w:r>
      <w:r>
        <w:t xml:space="preserve"> </w:t>
      </w:r>
      <w:r>
        <w:t xml:space="preserve">Other entity.</w:t>
      </w:r>
    </w:p>
    <w:p>
      <w:pPr>
        <w:pStyle w:val="kar_subsection"/>
      </w:pPr>
      <w:r>
        <w:t xml:space="preserve">(2)</w:t>
      </w:r>
      <w:r>
        <w:t xml:space="preserve"> </w:t>
      </w:r>
      <w:r>
        <w:t xml:space="preserve">The cabinet shall conduct a check of the central registry for each individual who:</w:t>
      </w:r>
    </w:p>
    <w:p>
      <w:pPr>
        <w:pStyle w:val="kar_paragraph"/>
      </w:pPr>
      <w:r>
        <w:t xml:space="preserve">(a)</w:t>
      </w:r>
      <w:r>
        <w:t xml:space="preserve"> </w:t>
      </w:r>
      <w:r>
        <w:t xml:space="preserve">Submits a request for a check of the central registry in accordance with subsection (4) of this section; and</w:t>
      </w:r>
    </w:p>
    <w:p>
      <w:pPr>
        <w:pStyle w:val="kar_paragraph"/>
      </w:pPr>
      <w:r>
        <w:t xml:space="preserve">(b)</w:t>
      </w:r>
      <w:r>
        <w:t xml:space="preserve"> </w:t>
      </w:r>
      <w:r>
        <w:t xml:space="preserve"> </w:t>
      </w:r>
    </w:p>
    <w:p>
      <w:pPr>
        <w:pStyle w:val="kar_subparagraph"/>
      </w:pPr>
      <w:r>
        <w:t xml:space="preserve">1.</w:t>
      </w:r>
      <w:r>
        <w:t xml:space="preserve"> </w:t>
      </w:r>
      <w:r>
        <w:t xml:space="preserve">Applies for initial licensure;</w:t>
      </w:r>
    </w:p>
    <w:p>
      <w:pPr>
        <w:pStyle w:val="kar_subparagraph"/>
      </w:pPr>
      <w:r>
        <w:t xml:space="preserve">2.</w:t>
      </w:r>
      <w:r>
        <w:t xml:space="preserve"> </w:t>
      </w:r>
      <w:r>
        <w:t xml:space="preserve">Is hired by, or volunteers with, an entity required by law to obtain information contained in the central registry; or</w:t>
      </w:r>
    </w:p>
    <w:p>
      <w:pPr>
        <w:pStyle w:val="kar_subparagraph"/>
      </w:pPr>
      <w:r>
        <w:t xml:space="preserve">3.</w:t>
      </w:r>
      <w:r>
        <w:t xml:space="preserve"> </w:t>
      </w:r>
      <w:r>
        <w:t xml:space="preserve">Is hired by, or volunteers with, an entity that may require a central registry check as a condition for working with children on a regular basis.</w:t>
      </w:r>
    </w:p>
    <w:p>
      <w:pPr>
        <w:pStyle w:val="kar_subsection"/>
      </w:pPr>
      <w:r>
        <w:t xml:space="preserve">(3)</w:t>
      </w:r>
      <w:r>
        <w:t xml:space="preserve"> </w:t>
      </w:r>
      <w:r>
        <w:t xml:space="preserve">An individual who is not required </w:t>
      </w:r>
      <w:r>
        <w:rPr>
          <w:b/>
          <w:u w:val="single"/>
        </w:rPr>
        <w:t xml:space="preserve">or authorized </w:t>
      </w:r>
      <w:r>
        <w:t xml:space="preserve">by law to obtain information contained in the central registry shall </w:t>
      </w:r>
      <w:r>
        <w:rPr>
          <w:b/>
          <w:u w:val="single"/>
        </w:rPr>
        <w:t xml:space="preserve">not receive a completed check and may instead </w:t>
      </w:r>
      <w:r>
        <w:t xml:space="preserve">submit an open records request in accordance with 922 KAR 1:510.</w:t>
      </w:r>
    </w:p>
    <w:p>
      <w:pPr>
        <w:pStyle w:val="kar_subsection"/>
      </w:pPr>
      <w:r>
        <w:t xml:space="preserve">(4)</w:t>
      </w:r>
      <w:r>
        <w:t xml:space="preserve"> </w:t>
      </w:r>
      <w:r>
        <w:t xml:space="preserve">A request for a central registry check shall be made:</w:t>
      </w:r>
    </w:p>
    <w:p>
      <w:pPr>
        <w:pStyle w:val="kar_paragraph"/>
      </w:pPr>
      <w:r>
        <w:t xml:space="preserve">(a)</w:t>
      </w:r>
      <w:r>
        <w:t xml:space="preserve"> </w:t>
      </w:r>
      <w:r>
        <w:t xml:space="preserve">By electronically submitting to the cabinet through the Kentucky Online Gateway:</w:t>
      </w:r>
    </w:p>
    <w:p>
      <w:pPr>
        <w:pStyle w:val="kar_subparagraph"/>
      </w:pPr>
      <w:r>
        <w:t xml:space="preserve">1.</w:t>
      </w:r>
      <w:r>
        <w:t xml:space="preserve"> </w:t>
      </w:r>
      <w:r>
        <w:t xml:space="preserve"> </w:t>
      </w:r>
    </w:p>
    <w:p>
      <w:pPr>
        <w:pStyle w:val="kar_clause"/>
      </w:pPr>
      <w:r>
        <w:t xml:space="preserve">a.</w:t>
      </w:r>
      <w:r>
        <w:t xml:space="preserve"> </w:t>
      </w:r>
      <w:r>
        <w:t xml:space="preserve">A completed DCC-374, Child Care Central Registry Check, for an individual in child care as specified by 42 U.S.C. 9858f, KRS 199.466, or 922 KAR 2:280; or</w:t>
      </w:r>
    </w:p>
    <w:p>
      <w:pPr>
        <w:pStyle w:val="kar_clause"/>
      </w:pPr>
      <w:r>
        <w:t xml:space="preserve">b.</w:t>
      </w:r>
      <w:r>
        <w:t xml:space="preserve"> </w:t>
      </w:r>
      <w:r>
        <w:t xml:space="preserve">A completed DPP-156, Central Registry Check, for an individual required by a law not specified in clause a. of this subparagraph no later than five (5) working days after:</w:t>
      </w:r>
    </w:p>
    <w:p>
      <w:pPr>
        <w:pStyle w:val="kar_subclause"/>
      </w:pPr>
      <w:r>
        <w:t xml:space="preserve">(i)</w:t>
      </w:r>
      <w:r>
        <w:t xml:space="preserve"> </w:t>
      </w:r>
      <w:r>
        <w:t xml:space="preserve">The date of employment of an individual required by law to submit to a central registry check; or</w:t>
      </w:r>
    </w:p>
    <w:p>
      <w:pPr>
        <w:pStyle w:val="kar_subclause"/>
      </w:pPr>
      <w:r>
        <w:t xml:space="preserve">(ii)</w:t>
      </w:r>
      <w:r>
        <w:t xml:space="preserve"> </w:t>
      </w:r>
      <w:r>
        <w:t xml:space="preserve">A volunteer's first day, if the volunteer is required by law to submit to a central registry check; and</w:t>
      </w:r>
    </w:p>
    <w:p>
      <w:pPr>
        <w:pStyle w:val="kar_subparagraph"/>
      </w:pPr>
      <w:r>
        <w:t xml:space="preserve">2.</w:t>
      </w:r>
      <w:r>
        <w:t xml:space="preserve"> </w:t>
      </w:r>
      <w:r>
        <w:t xml:space="preserve">A nonrefundable fee of ten (10) dollars paid by credit or debit card; or</w:t>
      </w:r>
    </w:p>
    <w:p>
      <w:pPr>
        <w:pStyle w:val="kar_paragraph"/>
      </w:pPr>
      <w:r>
        <w:t xml:space="preserve">(b)</w:t>
      </w:r>
      <w:r>
        <w:t xml:space="preserve"> </w:t>
      </w:r>
      <w:r>
        <w:t xml:space="preserve">Through another cabinet system, including the Kentucky National Background Check Program established by 906 KAR 1:190.</w:t>
      </w:r>
    </w:p>
    <w:p>
      <w:pPr>
        <w:pStyle w:val="kar_subsection"/>
      </w:pPr>
      <w:r>
        <w:t xml:space="preserve">(5)</w:t>
      </w:r>
      <w:r>
        <w:t xml:space="preserve"> </w:t>
      </w:r>
      <w:r>
        <w:rPr>
          <w:b/>
          <w:u w:val="single"/>
        </w:rPr>
        <w:t xml:space="preserve">A parent or guardian shall be required to consent to the central registry check of an individual that is under the age of eighteen (18).</w:t>
      </w:r>
    </w:p>
    <w:p>
      <w:pPr>
        <w:pStyle w:val="kar_subsection"/>
      </w:pPr>
      <w:r>
        <w:rPr>
          <w:b/>
          <w:u w:val="single"/>
        </w:rPr>
        <w:t xml:space="preserve">(6)</w:t>
      </w:r>
      <w:r>
        <w:t xml:space="preserve"> </w:t>
      </w:r>
      <w:r>
        <w:t xml:space="preserve">A state requesting a child abuse or neglect check from the cabinet as required by 42 U.S.C. 671(a)(20) shall follow the procedures described in 922 KAR 1:490, Section </w:t>
      </w:r>
      <w:r>
        <w:rPr>
          <w:u w:val="single"/>
        </w:rPr>
        <w:t xml:space="preserve">5</w:t>
      </w:r>
      <w:r>
        <w:t xml:space="preserve">[</w:t>
      </w:r>
      <w:r>
        <w:rPr>
          <w:strike w:val="true"/>
        </w:rPr>
        <w:t xml:space="preserve">4</w:t>
      </w:r>
      <w:r>
        <w:t xml:space="preserve">]</w:t>
      </w:r>
      <w:r>
        <w:t xml:space="preserve">.</w:t>
      </w:r>
    </w:p>
    <w:p>
      <w:pPr>
        <w:pStyle w:val="kar_section"/>
      </w:pPr>
      <w:r>
        <w:t xml:space="preserve">Section 4.</w:t>
      </w:r>
      <w:r>
        <w:t xml:space="preserve"> </w:t>
      </w:r>
      <w:r>
        <w:t xml:space="preserve">Administrative Review.</w:t>
      </w:r>
    </w:p>
    <w:p>
      <w:pPr>
        <w:pStyle w:val="kar_subsection"/>
      </w:pPr>
      <w:r>
        <w:t xml:space="preserve">(1)</w:t>
      </w:r>
      <w:r>
        <w:t xml:space="preserve"> </w:t>
      </w:r>
      <w:r>
        <w:t xml:space="preserve">The cabinet shall indicate on a central registry check if the individual is pending administrative review by the cabinet.</w:t>
      </w:r>
    </w:p>
    <w:p>
      <w:pPr>
        <w:pStyle w:val="kar_subsection"/>
      </w:pPr>
      <w:r>
        <w:t xml:space="preserve">(2)</w:t>
      </w:r>
      <w:r>
        <w:t xml:space="preserve"> </w:t>
      </w:r>
      <w:r>
        <w:t xml:space="preserve">An individual subject to administrative review in accordance with this section may submit a request for the disclosure of records in accordance with 922 KAR 1:510 to be fulfilled once the administrative review process is complete.</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"DPP-156, Central Registry Check," </w:t>
      </w:r>
      <w:r>
        <w:rPr>
          <w:b/>
          <w:u w:val="single"/>
        </w:rPr>
        <w:t xml:space="preserve">4/2022</w:t>
      </w:r>
      <w:r>
        <w:rPr>
          <w:b/>
        </w:rPr>
        <w:t xml:space="preserve">[</w:t>
      </w:r>
      <w:r>
        <w:rPr>
          <w:b/>
          <w:strike w:val="true"/>
          <w:u w:val="single"/>
        </w:rPr>
        <w:t xml:space="preserve">12/2021</w:t>
      </w:r>
      <w:r>
        <w:rPr>
          <w:b/>
        </w:rPr>
        <w:t xml:space="preserve">]</w:t>
      </w:r>
      <w:r>
        <w:t xml:space="preserve">[</w:t>
      </w:r>
      <w:r>
        <w:rPr>
          <w:strike w:val="true"/>
        </w:rPr>
        <w:t xml:space="preserve">8/2019</w:t>
      </w:r>
      <w:r>
        <w:t xml:space="preserve">]</w:t>
      </w:r>
      <w:r>
        <w:t xml:space="preserve">; and</w:t>
      </w:r>
    </w:p>
    <w:p>
      <w:pPr>
        <w:pStyle w:val="kar_paragraph"/>
      </w:pPr>
      <w:r>
        <w:t xml:space="preserve">(b)</w:t>
      </w:r>
      <w:r>
        <w:t xml:space="preserve"> </w:t>
      </w:r>
      <w:r>
        <w:t xml:space="preserve">"DCC-374, Child Care Central Registry Check," </w:t>
      </w:r>
      <w:r>
        <w:rPr>
          <w:b/>
          <w:u w:val="single"/>
        </w:rPr>
        <w:t xml:space="preserve">4/2022</w:t>
      </w:r>
      <w:r>
        <w:rPr>
          <w:b/>
        </w:rPr>
        <w:t xml:space="preserve">[</w:t>
      </w:r>
      <w:r>
        <w:rPr>
          <w:b/>
          <w:strike w:val="true"/>
          <w:u w:val="single"/>
        </w:rPr>
        <w:t xml:space="preserve">12/2021</w:t>
      </w:r>
      <w:r>
        <w:rPr>
          <w:b/>
        </w:rPr>
        <w:t xml:space="preserve">]</w:t>
      </w:r>
      <w:r>
        <w:t xml:space="preserve">[</w:t>
      </w:r>
      <w:r>
        <w:rPr>
          <w:strike w:val="true"/>
        </w:rPr>
        <w:t xml:space="preserve">8/2019</w:t>
      </w:r>
      <w:r>
        <w:t xml:space="preserve">]</w:t>
      </w:r>
      <w:r>
        <w:t xml:space="preserve">.</w:t>
      </w:r>
    </w:p>
    <w:p>
      <w:pPr>
        <w:pStyle w:val="kar_subsection"/>
      </w:pPr>
      <w:r>
        <w:t xml:space="preserve">(2)</w:t>
      </w:r>
      <w:r>
        <w:t xml:space="preserve"> </w:t>
      </w:r>
      <w:r>
        <w:t xml:space="preserve">This material may be inspected, copied, or obtained, subject to applicable copyright law, at the Cabinet for Health and Family Services, 275 East Main Street, Frankfort, Kentucky 40621, Monday through Friday, 8 a.m. to 4:30 p.m. </w:t>
      </w:r>
      <w:r>
        <w:rPr>
          <w:u w:val="single"/>
        </w:rPr>
        <w:t xml:space="preserve">This material may also be viewed on the department's Web site at https://chfs.ky.gov/agencies/dcbs/Pages/default.aspx.</w:t>
      </w:r>
    </w:p>
    <w:p>
      <w:pPr>
        <w:pStyle w:val="kar_signature"/>
      </w:pPr>
      <w:r>
        <w:t xml:space="preserve">MARTA MIRANDA-STRAUB, Commissioner</w:t>
      </w:r>
    </w:p>
    <w:p>
      <w:pPr>
        <w:pStyle w:val="kar_signature"/>
      </w:pPr>
      <w:r>
        <w:t xml:space="preserve">ERIC C. FRIEDLANDER, Secretary</w:t>
      </w:r>
    </w:p>
    <w:p>
      <w:pPr>
        <w:pStyle w:val="kar_normal"/>
      </w:pPr>
      <w:r>
        <w:t xml:space="preserve"/>
      </w:r>
    </w:p>
    <w:p>
      <w:pPr>
        <w:pStyle w:val="kar_approved_by"/>
      </w:pPr>
      <w:r>
        <w:t xml:space="preserve">APPROVED BY AGENCY: April 7, 2022</w:t>
      </w:r>
    </w:p>
    <w:p>
      <w:pPr>
        <w:pStyle w:val="kar_filed"/>
      </w:pPr>
      <w:r>
        <w:t xml:space="preserve">FILED WITH LRC: April 12, 2022 at 11:45 a.m.</w:t>
      </w:r>
    </w:p>
    <w:p>
      <w:pPr>
        <w:pStyle w:val="kar_normal"/>
      </w:pPr>
      <w:r>
        <w:t xml:space="preserve"/>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 or Laura Begin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procedures by which the cabinet shall conduct a child abuse and neglect check using information in the central registry.</w:t>
      </w:r>
    </w:p>
    <w:p>
      <w:pPr>
        <w:pStyle w:val="kar_normal"/>
        <w:ind w:left="576"/>
      </w:pPr>
      <w:r>
        <w:t xml:space="preserve">(b) The necessity of this administrative regulation:</w:t>
      </w:r>
    </w:p>
    <w:p>
      <w:pPr>
        <w:pStyle w:val="kar_normal"/>
        <w:ind w:left="720"/>
      </w:pPr>
      <w:r>
        <w:t xml:space="preserve">This administrative regulation is necessary to establish cabinet procedures for child abuse and neglect checks of the central registry.</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cabinet procedures for conducting child abuse and neglect checks of the central registry, as required by KRS 620.051(2).</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currently assists in the effective administration of the statutes through its establishment of cabinet procedures for child abuse and neglect checks of the central registry.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the material incorporated by reference, the DPP-156 and DCC-374, for consistency between electronic and hard-copy formats. The forms are being amended to address checks submitted by out of state employers and minors and to allow other forms of identifying information to be submitted. The administrative regulation is being further amended to clarify that a central registry check may be authorized, not just required, by law; a check of an individual for whom it is not required or authorized by law shall not be completed; and that a parent or guardian’s consent is required for a check of an individual under the age of eighteen. None of this is a new practice or requirement, but is being clarified in the administrative regulation in response to public comment. Incorporated material is also being amended to make clarifications and corrections in response to public comment.</w:t>
      </w:r>
    </w:p>
    <w:p>
      <w:pPr>
        <w:pStyle w:val="kar_normal"/>
        <w:ind w:left="576"/>
      </w:pPr>
      <w:r>
        <w:t xml:space="preserve">(b) The necessity of the amendment to this administrative regulation:</w:t>
      </w:r>
    </w:p>
    <w:p>
      <w:pPr>
        <w:pStyle w:val="kar_normal"/>
        <w:ind w:left="720"/>
      </w:pPr>
      <w:r>
        <w:t xml:space="preserve">The cabinet’s CA/N registry database was moved from being solely a paper-based process to an online database in order to improve background check efficiency. Minor changes in the forms are necessary to make the electronic versions more intuitive and easier to use. Years ago, the department experienced a backlog in completing these checks, but since moving to an electronic format, the department has been able to complete checks in a timely and responsive manner. In calendar year 2020, over 77,000 child abuse and neglect central registry checks were processed.</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through its update of cabinet procedures for child abuse and neglect checks of the central registry. KRS 620.051(2) requires the cabinet to promulgate administrative regulations to establish the central registry and the process for a background check of the cabinet’s child abuse and neglect records.</w:t>
      </w:r>
    </w:p>
    <w:p>
      <w:pPr>
        <w:pStyle w:val="kar_normal"/>
        <w:ind w:left="576"/>
      </w:pPr>
      <w:r>
        <w:t xml:space="preserve">(d) How the amendment will assist in the effective administration of the statutes:</w:t>
      </w:r>
    </w:p>
    <w:p>
      <w:pPr>
        <w:pStyle w:val="kar_normal"/>
        <w:ind w:left="720"/>
      </w:pPr>
      <w:r>
        <w:t xml:space="preserve">The amendment will assist in the effective administration of the statutes through its enhancement of the cabinet’s child abuse and neglect check procedures to provide a more efficient background check process.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Individuals who are subject to statutory and regulatory requirements involving a child abuse and neglect check conducted by the cabinet are impacted by this administrative regulation. In calendar year 2020, over 77,000 child abuse and neglect central registry checks were processed.</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The central registry system is now available through an electronic format that is efficient and user-friendly. This amendment makes minor changes in the hard-copy and electronic forms. The electronic format allows for a much more timely background check to be completed, necessary for certain employment and volunteer opportunities.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is no new or additional cost to regulated entities.</w:t>
      </w:r>
    </w:p>
    <w:p>
      <w:pPr>
        <w:pStyle w:val="kar_normal"/>
        <w:ind w:left="576"/>
      </w:pPr>
      <w:r>
        <w:t xml:space="preserve">(c) As a result of compliance, what benefits will accrue to the entities identified in question (3):</w:t>
      </w:r>
    </w:p>
    <w:p>
      <w:pPr>
        <w:pStyle w:val="kar_normal"/>
        <w:ind w:left="720"/>
      </w:pPr>
      <w:r>
        <w:t xml:space="preserve">Minor form changes are being accomplished through this amendment, which will provide clarification and more options to individuals completing the form.</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cost to implement these form changes.</w:t>
      </w:r>
    </w:p>
    <w:p>
      <w:pPr>
        <w:pStyle w:val="kar_normal"/>
        <w:ind w:left="576"/>
      </w:pPr>
      <w:r>
        <w:t xml:space="preserve">(b) On a continuing basis:</w:t>
      </w:r>
    </w:p>
    <w:p>
      <w:pPr>
        <w:pStyle w:val="kar_normal"/>
        <w:ind w:left="720"/>
      </w:pPr>
      <w:r>
        <w:t xml:space="preserve">There is no cost to implement these form changes. The electronic format that is used in conducting these background checks saves the department in office supplies and postage costs, which was approximately $8,000 per year.</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General fund dollars.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fee charged by the cabinet for a child abuse and neglect check is unchanged and is consistent with KRS 620.051(1). The fees collected support cabinet programing.</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The administrative regulation includes a fee established by the General Assembly and codified in KRS 620.051(1). The fee is unchanged through this amendment.</w:t>
      </w:r>
    </w:p>
    <w:p>
      <w:pPr>
        <w:pStyle w:val="kar_normal"/>
        <w:ind w:left="288"/>
      </w:pPr>
      <w:r>
        <w:t xml:space="preserve">(9) TIERING: Is tiering applied?</w:t>
      </w:r>
    </w:p>
    <w:p>
      <w:pPr>
        <w:pStyle w:val="kar_normal"/>
        <w:ind w:left="432"/>
      </w:pPr>
      <w:r>
        <w:t xml:space="preserve">Tiering is not applied, because this administrative regulation will be implemented in a like manner statewide.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671(a)(20), 5106a(b), 9858f</w:t>
      </w:r>
    </w:p>
    <w:p>
      <w:pPr>
        <w:pStyle w:val="kar_normal"/>
        <w:ind w:left="288"/>
      </w:pPr>
      <w:r>
        <w:t xml:space="preserve">(2) State compliance standards.</w:t>
      </w:r>
    </w:p>
    <w:p>
      <w:pPr>
        <w:pStyle w:val="kar_normal"/>
        <w:ind w:left="432"/>
      </w:pPr>
      <w:r>
        <w:t xml:space="preserve">KRS 194A.050(1), 605.130(7), 605.150(1), 620.051(2)</w:t>
      </w:r>
    </w:p>
    <w:p>
      <w:pPr>
        <w:pStyle w:val="kar_normal"/>
        <w:ind w:left="288"/>
      </w:pPr>
      <w:r>
        <w:t xml:space="preserve">(3) Minimum or uniform standards contained in the federal mandate.</w:t>
      </w:r>
    </w:p>
    <w:p>
      <w:pPr>
        <w:pStyle w:val="kar_normal"/>
        <w:ind w:left="432"/>
      </w:pPr>
      <w:r>
        <w:t xml:space="preserve">42 U.S.C. 671(a)(20), 5106a(b), 9858f</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requirements, or additional or different responsibilities of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The administrative regulation does not impose stricter requirements, or additional or different responsibilities of requirements, than those required by the federal mandate.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Cabinet for Health and Family Services is impacted by this administrative regulation. Public school districts are impacted by this administrative regulation through the statutory mandate for personnel and others on the grounds of a public school or on the site based decision making council to undergo a child abuse and neglect check conducted by the cabinet. Other governmental organizational units that require staff or providers to undergo child abuse and neglect central registry checks, such as the Department of Juvenile Justice or the Department for Medicaid Services, are impacted by this administrative regulation, but this amendment is minor and only provides clarification and alternatives for submitting identification.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194A.050(1), 605.130(7), 605.150(1), 620.051(2), 42 U.S.C. 671(a)(20), 5106a(b), 9858f</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includes the fee codified in KRS 620.051(1) for child abuse and neglect background checks. The fees collected support cabinet programing. This amendment does not change the fee.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enforces the fee codified in KRS 620.051(1) for child abuse and neglect background checks. The fees collected support cabinet programing. This amendment does not change the fee.</w:t>
      </w:r>
    </w:p>
    <w:p>
      <w:pPr>
        <w:pStyle w:val="kar_normal"/>
        <w:ind w:left="576"/>
      </w:pPr>
      <w:r>
        <w:t xml:space="preserve">(c) How much will it cost to administer this program for the first year?</w:t>
      </w:r>
    </w:p>
    <w:p>
      <w:pPr>
        <w:pStyle w:val="kar_normal"/>
        <w:ind w:left="720"/>
      </w:pPr>
      <w:r>
        <w:t xml:space="preserve">This electronic format for background checks has minimal maintenance costs, offset by savings in office supplies and postage. This amendment has no cost associated.</w:t>
      </w:r>
    </w:p>
    <w:p>
      <w:pPr>
        <w:pStyle w:val="kar_normal"/>
        <w:ind w:left="576"/>
      </w:pPr>
      <w:r>
        <w:t xml:space="preserve">(d) How much will it cost to administer this program for subsequent years?</w:t>
      </w:r>
    </w:p>
    <w:p>
      <w:pPr>
        <w:pStyle w:val="kar_normal"/>
        <w:ind w:left="720"/>
      </w:pPr>
      <w:r>
        <w:t xml:space="preserve">This program has minimal maintenance costs, offset by savings in office supplies and postage. This amendment has no cost associated.</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b5a03be874e45e0" /><Relationship Type="http://schemas.openxmlformats.org/officeDocument/2006/relationships/settings" Target="/word/settings.xml" Id="Rdfe8e50a18b848a1" /></Relationships>
</file>