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e6417f737f46a4" /></Relationships>
</file>

<file path=word/document.xml><?xml version="1.0" encoding="utf-8"?>
<w:document xmlns:w="http://schemas.openxmlformats.org/wordprocessingml/2006/main">
  <w:body>
    <w:p>
      <w:pPr>
        <w:pStyle w:val="kar_citation"/>
      </w:pPr>
      <w:r>
        <w:t>101 KAR 3:015.</w:t>
      </w:r>
      <w:r>
        <w:t xml:space="preserve"> </w:t>
      </w:r>
      <w:r>
        <w:t xml:space="preserve">Leave requirements for unclassified service.</w:t>
      </w:r>
    </w:p>
    <w:p>
      <w:pPr>
        <w:pStyle w:val="kar_markup_metadata"/>
      </w:pPr>
      <w:r>
        <w:t xml:space="preserve">RELATES TO: </w:t>
      </w:r>
      <w:r>
        <w:t xml:space="preserve">KRS 18A.020, 18A.030, 18A.110, 18A.140, 18A.145, 18A.195, 18A.990, 61.373, 61.394, 118.035, 344.030, 29 C.F.R. 825, 29 U.S.C. 8, 29 U.S.C. 201 – 219, 2601 – 2654</w:t>
      </w:r>
    </w:p>
    <w:p>
      <w:pPr>
        <w:pStyle w:val="kar_markup_metadata"/>
      </w:pPr>
      <w:r>
        <w:t xml:space="preserve">STATUTORY AUTHORITY: </w:t>
      </w:r>
      <w:r>
        <w:t xml:space="preserve">KRS 18A.030(2)(b), 18A.110(2), (7)(g), 18A.155,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18A.110(2) and 18A.155 require the secretary to promulgate administrative regulations for the unclassified service. KRS 18A.110(7)(g) requires the secretary, with the approval of the Governor, to promulgate administrative regulations to govern annual leave, sick leave, special leaves of absence, and other conditions of leave. This administrative regulation establishes the leave requirements for unclassified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does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120-179 months</w:t>
            </w:r>
          </w:p>
        </w:tc>
        <w:tc>
          <w:tcPr/>
          <w:p>
            <w:pPr>
              <w:pStyle w:val="kar_table_cell"/>
            </w:pPr>
            <w:r>
              <w:t xml:space="preserve">45 work-days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180-239 months</w:t>
            </w:r>
          </w:p>
        </w:tc>
        <w:tc>
          <w:tcPr/>
          <w:p>
            <w:pPr>
              <w:pStyle w:val="kar_table_cell"/>
            </w:pPr>
            <w:r>
              <w:t xml:space="preserve">52 work-days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or terminated other than for cause,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3:050 Section 8,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does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paragraph"/>
      </w:pPr>
      <w:r>
        <w:t xml:space="preserve">(h)</w:t>
      </w:r>
      <w:r>
        <w:t xml:space="preserve"> </w:t>
      </w:r>
      <w:r>
        <w:t xml:space="preserve">The duration of an interim employee's appointment shall not be extended by the use or approval for sick leave with or without pay.</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t xml:space="preserve">With prior notice to their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KRS Chapter 337,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 The employee's election shall be changed by the submission of a new form. The effective date of a change shall be the first day of the next workweek following receipt of the election.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480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is not in a policy-making position and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In the event a work week is split between pay periods, then the 240 hours of compensatory leave required for payment must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 or the conclusion of the administration in which the employee is serving, whichever comes first.</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 career unclassified employee on administrative leave with pay upon the employee's receipt of an intent to dismiss for cause letter.</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are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(4) and (5)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(5)</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123 calendar days of the occurrence of the absence. If it is not made up within 123 calendar days,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t xml:space="preserve">(6)</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0ee0606e9644b9" /><Relationship Type="http://schemas.openxmlformats.org/officeDocument/2006/relationships/settings" Target="/word/settings.xml" Id="Rb29557309dd341ce" /></Relationships>
</file>