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610c6b99e1412a"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website at fw.ky.gov.</w:t>
      </w:r>
    </w:p>
    <w:p>
      <w:pPr>
        <w:pStyle w:val="kar_subsection"/>
      </w:pPr>
      <w:r>
        <w:t xml:space="preserve">(2)</w:t>
      </w:r>
      <w:r>
        <w:t xml:space="preserve"> </w:t>
      </w:r>
      <w:r>
        <w:t xml:space="preserve">In any area identified as a CWD Surveillance Zone, the following requirements will go into effect:</w:t>
      </w:r>
    </w:p>
    <w:p>
      <w:pPr>
        <w:pStyle w:val="kar_paragraph"/>
      </w:pPr>
      <w:r>
        <w:t xml:space="preserve">(a)</w:t>
      </w:r>
      <w:r>
        <w:t xml:space="preserve"> </w:t>
      </w:r>
      <w:r>
        <w:t xml:space="preserve">In addition to items in Sections 10 and 11 above all hunters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Furbearer trapping attractants, except grain salt or mineral.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ad47546aa9426a" /><Relationship Type="http://schemas.openxmlformats.org/officeDocument/2006/relationships/settings" Target="/word/settings.xml" Id="R52a8ecd8924a4726" /></Relationships>
</file>