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8072716d394605" /></Relationships>
</file>

<file path=word/document.xml><?xml version="1.0" encoding="utf-8"?>
<w:document xmlns:w="http://schemas.openxmlformats.org/wordprocessingml/2006/main">
  <w:body>
    <w:p>
      <w:pPr>
        <w:pStyle w:val="kar_citation"/>
      </w:pPr>
      <w:r>
        <w:t>103 KAR 41:130.</w:t>
      </w:r>
      <w:r>
        <w:t xml:space="preserve"> </w:t>
      </w:r>
      <w:r>
        <w:t xml:space="preserve">Elimination of cigarette tax indicia.</w:t>
      </w:r>
    </w:p>
    <w:p>
      <w:pPr>
        <w:pStyle w:val="kar_markup_metadata"/>
      </w:pPr>
      <w:r>
        <w:t xml:space="preserve">RELATES TO: </w:t>
      </w:r>
      <w:r>
        <w:t xml:space="preserve">KRS 138.140, 138.146</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by the elimination of cigarette tax indicia on certain sales, reflects federal requirements which prohibit state taxation of cigarettes sold to an instrumentality of the United States Government.</w:t>
      </w:r>
    </w:p>
    <w:p>
      <w:pPr>
        <w:pStyle w:val="kar_section"/>
      </w:pPr>
      <w:r>
        <w:t xml:space="preserve">Section 1.</w:t>
      </w:r>
      <w:r>
        <w:t xml:space="preserve"> </w:t>
      </w:r>
      <w:r>
        <w:t xml:space="preserve">The affixture of Kentucky cigarette tax indicia is not required on packages of cigarettes sold under the following conditions:</w:t>
      </w:r>
    </w:p>
    <w:p>
      <w:pPr>
        <w:pStyle w:val="kar_subsection"/>
      </w:pPr>
      <w:r>
        <w:t xml:space="preserve">(1)</w:t>
      </w:r>
      <w:r>
        <w:t xml:space="preserve"> </w:t>
      </w:r>
      <w:r>
        <w:t xml:space="preserve">To the United States or any instrumentality thereof for resale to and consumption by members of the armed services of the United States;</w:t>
      </w:r>
    </w:p>
    <w:p>
      <w:pPr>
        <w:pStyle w:val="kar_subsection"/>
      </w:pPr>
      <w:r>
        <w:t xml:space="preserve">(2)</w:t>
      </w:r>
      <w:r>
        <w:t xml:space="preserve"> </w:t>
      </w:r>
      <w:r>
        <w:t xml:space="preserve">To the Veterans Canteen Service of the Veterans Administration for resale to and consumption by veterans hospitalized or domiciled in facilities of the Veterans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(CT-33; 1 Ky.R. 333; eff. 2-5-1975; TAm eff. 6-28-2016; Crt eff. 8-5-2019.)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965eb5fc7941c4" /><Relationship Type="http://schemas.openxmlformats.org/officeDocument/2006/relationships/settings" Target="/word/settings.xml" Id="Rfd7c31d21a2d4cb5" /></Relationships>
</file>