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69015c907247b1"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(Amended at ARRS Committee)</w:t>
      </w:r>
    </w:p>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7401-7671q</w:t>
      </w:r>
    </w:p>
    <w:p>
      <w:pPr>
        <w:pStyle w:val="kar_markup_metadata"/>
      </w:pPr>
      <w:r>
        <w:t xml:space="preserve">STATUTORY AUTHORITY: </w:t>
      </w:r>
      <w:r>
        <w:t xml:space="preserve">KRS 224.10-100(5), 224.20-110, 42 U.S.C. 7407</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w:t>
      </w:r>
      <w:r>
        <w:rPr>
          <w:b/>
          <w:i/>
          <w:u w:val="single"/>
        </w:rPr>
        <w:t xml:space="preserve">establishes the designation</w:t>
      </w:r>
      <w:r>
        <w:t>[</w:t>
      </w:r>
      <w:r>
        <w:rPr>
          <w:b/>
          <w:i/>
          <w:strike w:val="true"/>
        </w:rPr>
        <w:t xml:space="preserve">designates the</w:t>
      </w:r>
      <w:r>
        <w:t>]</w:t>
      </w:r>
      <w:r>
        <w:t xml:space="preserve">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w:t>
      </w:r>
      <w:r>
        <w:rPr>
          <w:b/>
          <w:i/>
          <w:u w:val="single"/>
        </w:rPr>
        <w:t xml:space="preserve">shall be as</w:t>
      </w:r>
      <w:r>
        <w:t>[</w:t>
      </w:r>
      <w:r>
        <w:rPr>
          <w:b/>
          <w:i/>
          <w:strike w:val="true"/>
        </w:rPr>
        <w:t xml:space="preserve">is</w:t>
      </w:r>
      <w:r>
        <w:t>]</w:t>
      </w:r>
      <w:r>
        <w:t xml:space="preserve">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w:t>
      </w:r>
      <w:r>
        <w:t>[</w:t>
      </w:r>
      <w:r>
        <w:rPr>
          <w:b/>
          <w:i/>
          <w:strike w:val="true"/>
        </w:rPr>
        <w:t xml:space="preserve"> as used in Section 7 of this administrative regulation</w:t>
      </w:r>
      <w:r>
        <w:t>]</w:t>
      </w:r>
      <w:r>
        <w:t xml:space="preserve"> that </w:t>
      </w:r>
      <w:r>
        <w:rPr>
          <w:b/>
          <w:i/>
          <w:u w:val="single"/>
        </w:rPr>
        <w:t xml:space="preserve">delineates</w:t>
      </w:r>
      <w:r>
        <w:t>[</w:t>
      </w:r>
      <w:r>
        <w:rPr>
          <w:b/>
          <w:i/>
          <w:strike w:val="true"/>
        </w:rPr>
        <w:t xml:space="preserve">defines</w:t>
      </w:r>
      <w:r>
        <w:t>]</w:t>
      </w:r>
      <w:r>
        <w:t xml:space="preserve"> a nonattainment boundary for an area that is a portion of a county designated as nonattainment for ozone for any classification except marginal</w:t>
      </w:r>
      <w:r>
        <w:rPr>
          <w:b/>
          <w:i/>
          <w:u w:val="single"/>
        </w:rPr>
        <w:t xml:space="preserve">,</w:t>
      </w:r>
      <w:r>
        <w:t xml:space="preserve">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Cannot Be Classified or Better Than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w:t>
            </w:r>
            <w:r>
              <w:t xml:space="preserve">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w:t>
            </w:r>
            <w:r>
              <w:t xml:space="preserve">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w:t>
            </w:r>
            <w:r>
              <w:t xml:space="preserve">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r>
              <w:t xml:space="preserve">Classification</w:t>
            </w:r>
          </w:p>
        </w:tc>
      </w:tr>
      <w:tr>
        <w:tc>
          <w:tcPr/>
          <w:p>
            <w:pPr>
              <w:pStyle w:val="kar_table_cell"/>
            </w:pPr>
            <w:r>
              <w:t xml:space="preserve">Boone County (part)</w:t>
            </w:r>
            <w:r>
              <w:t xml:space="preserve">The entire county except for 2010 U.S. Census Tracts 706.01 and 706.04</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Bullitt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Campbell County (part)</w:t>
            </w:r>
            <w:r>
              <w:t xml:space="preserve">The entire county except for 2010 U.S. Census Tracts 520.01 and 520.02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Jefferson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Kenton County (part)</w:t>
            </w:r>
            <w:r>
              <w:t xml:space="preserve">The entire county except for 2010 U.S. Census Tracts 637.01 and 637.02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Oldham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Lawrence County (part)</w:t>
            </w:r>
            <w:r>
              <w:t xml:space="preserve">The area described by U.S. Census 2000 block group identifier 21-127-9901-6</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p>
      <w:pPr>
        <w:pStyle w:val="kar_subsection"/>
      </w:pPr>
      <w:r>
        <w:t xml:space="preserve">(1)</w:t>
      </w:r>
      <w:r>
        <w:t xml:space="preserve"> </w:t>
      </w:r>
      <w:r>
        <w:t xml:space="preserve">1971 Primary and Secondary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Primary Standard:</w:t>
      </w:r>
    </w:p>
    <w:p>
      <w:pPr>
        <w:pStyle w:val="kar_section"/>
      </w:pPr>
      <w:r>
        <w:t xml:space="preserve">Section 10.</w:t>
      </w:r>
      <w:r>
        <w:t xml:space="preserve"> </w:t>
      </w:r>
      <w:r>
        <w:t xml:space="preserve">Attainment Status Designations for Total Suspended Particulates (TSP). 1971 Standard: </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Bell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Boyd County</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pPr>
            <w:r>
              <w:t xml:space="preserve"> </w:t>
            </w:r>
          </w:p>
        </w:tc>
      </w:tr>
      <w:tr>
        <w:tc>
          <w:tcPr/>
          <w:p>
            <w:pPr>
              <w:pStyle w:val="kar_table_cell"/>
            </w:pPr>
            <w:r>
              <w:t xml:space="preserve">That portion of Bullitt County in Shepherdsville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That portion of Campbell County in Newport</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That portion of Daviess County in Owensboro bordered by the Ohio River on the north, by Frederica Street projected to the river on the west, by Fourth Street and U.S. 60 on the south, and by the Beltline (KY 212) projected to the river on the east</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pPr>
            <w:r>
              <w:t xml:space="preserve"> </w:t>
            </w:r>
          </w:p>
        </w:tc>
      </w:tr>
      <w:tr>
        <w:tc>
          <w:tcPr/>
          <w:p>
            <w:pPr>
              <w:pStyle w:val="kar_table_cell"/>
            </w:pPr>
            <w:r>
              <w:t xml:space="preserve">That portion of Henderson County in Henderson</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Jefferson County</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Lawrence County in Louisa</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McCracken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That portion of Madison County in Richmond</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Marshall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Muhlenberg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That portion of Perry County in Hazard</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Pike County in Pikeville</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Whitley County in Corbin</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Rest of state</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bl>
    <w:p>
      <w:pPr>
        <w:pStyle w:val="kar_signature"/>
      </w:pPr>
      <w:r>
        <w:t xml:space="preserve"/>
      </w:r>
    </w:p>
    <w:p>
      <w:pPr>
        <w:pStyle w:val="kar_signature"/>
      </w:pPr>
      <w:r>
        <w:t xml:space="preserve"/>
      </w:r>
    </w:p>
    <w:p>
      <w:pPr>
        <w:pStyle w:val="kar_signature"/>
      </w:pPr>
      <w:r>
        <w:t xml:space="preserve"/>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Lisa Jones, Environmental Scientist III, Division for Air Quality, 300 Sower Boulevard, 2nd Floor, Frankfort, Kentucky 40601, phone (502) 782-1288, fax (502) 564-4245, email Lisa.C.Jones@ky.gov.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f0f7948aa4efe" /><Relationship Type="http://schemas.openxmlformats.org/officeDocument/2006/relationships/settings" Target="/word/settings.xml" Id="Rd70d6a7c7e364c85" /></Relationships>
</file>