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fbfb82fddd4de6" /></Relationships>
</file>

<file path=word/document.xml><?xml version="1.0" encoding="utf-8"?>
<w:document xmlns:w="http://schemas.openxmlformats.org/wordprocessingml/2006/main">
  <w:body>
    <w:p>
      <w:pPr>
        <w:pStyle w:val="kar_citation"/>
      </w:pPr>
      <w:r>
        <w:t>201 KAR 19:035.</w:t>
      </w:r>
      <w:r>
        <w:t xml:space="preserve"> </w:t>
      </w:r>
      <w:r>
        <w:t xml:space="preserve">Qualifications for examination and licensure.</w:t>
      </w:r>
    </w:p>
    <w:p>
      <w:pPr>
        <w:pStyle w:val="kar_markup_metadata"/>
      </w:pPr>
      <w:r>
        <w:t xml:space="preserve">RELATES TO: </w:t>
      </w:r>
      <w:r>
        <w:t xml:space="preserve">KRS 323.050(2), (3), 323.060, 323.120(1)(a)-(j)</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323.050(2) authorizes the board to prescribe the qualifications and experience requirements for licensure. KRS 323.210(1)(b) and (2) require the board to promulgate administrative regulations governing the contents and conduct of examinations, the method and time for filing applications, and the time within which an applicant shall be examined after his or her application has been filed. This administrative regulation establishes the prerequisites for taking the examination and obtaining a license.</w:t>
      </w:r>
    </w:p>
    <w:p>
      <w:pPr>
        <w:pStyle w:val="kar_section"/>
      </w:pPr>
      <w:r>
        <w:t xml:space="preserve">Section 1.</w:t>
      </w:r>
      <w:r>
        <w:t xml:space="preserve"> </w:t>
      </w:r>
      <w:r>
        <w:t xml:space="preserve">Eligibility to Take the Architect Registration Examination (ARE). A person who possesses the qualifications prescribed in KRS 323.050, and this administrative regulation, shall be eligible to take the examination.</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The board may verify the good moral character of an applicant for examination with employers and registered architects who have knowledge of the applicant's moral character.</w:t>
      </w:r>
    </w:p>
    <w:p>
      <w:pPr>
        <w:pStyle w:val="kar_paragraph"/>
      </w:pPr>
      <w:r>
        <w:t xml:space="preserve">(b)</w:t>
      </w:r>
      <w:r>
        <w:t xml:space="preserve"> </w:t>
      </w:r>
      <w:r>
        <w:t xml:space="preserve">An applicant shall not be considered to be of good moral character if the applicant has:</w:t>
      </w:r>
    </w:p>
    <w:p>
      <w:pPr>
        <w:pStyle w:val="kar_subparagraph"/>
      </w:pPr>
      <w:r>
        <w:t xml:space="preserve">1.</w:t>
      </w:r>
      <w:r>
        <w:t xml:space="preserve"> </w:t>
      </w:r>
      <w:r>
        <w:t xml:space="preserve">Committed an act specified in KRS 323.120(1)(a) through (i);</w:t>
      </w:r>
    </w:p>
    <w:p>
      <w:pPr>
        <w:pStyle w:val="kar_subparagraph"/>
      </w:pPr>
      <w:r>
        <w:t xml:space="preserve">2.</w:t>
      </w:r>
      <w:r>
        <w:t xml:space="preserve"> </w:t>
      </w:r>
      <w:r>
        <w:t xml:space="preserve">Chronic alcoholism, persistent drug abuse, or an act of behavior that would, if the applicant were licensed, jeopardize or impair the applicant's judgment to meet professional responsibility as an architect and to act to protect the public welfare and safety; or</w:t>
      </w:r>
    </w:p>
    <w:p>
      <w:pPr>
        <w:pStyle w:val="kar_subparagraph"/>
      </w:pPr>
      <w:r>
        <w:t xml:space="preserve">3.</w:t>
      </w:r>
      <w:r>
        <w:t xml:space="preserve"> </w:t>
      </w:r>
      <w:r>
        <w:t xml:space="preserve">Violated a provision of KRS Chapter 323 or 201 KAR Chapter 19 either before or after admission to the examination.</w:t>
      </w:r>
    </w:p>
    <w:p>
      <w:pPr>
        <w:pStyle w:val="kar_paragraph"/>
      </w:pPr>
      <w:r>
        <w:t xml:space="preserve">(c)</w:t>
      </w:r>
      <w:r>
        <w:t xml:space="preserve"> </w:t>
      </w:r>
      <w:r>
        <w:t xml:space="preserve">If an applicant has violated the registration laws of another jurisdiction, the board shall determine whether the violation adversely affected the moral character of the applicant.</w:t>
      </w:r>
    </w:p>
    <w:p>
      <w:pPr>
        <w:pStyle w:val="kar_subsection"/>
      </w:pPr>
      <w:r>
        <w:t xml:space="preserve">(2)</w:t>
      </w:r>
      <w:r>
        <w:t xml:space="preserve"> </w:t>
      </w:r>
      <w:r>
        <w:t xml:space="preserve">To be eligible for examination, an applicant shall submit to the board college transcripts and verification from the National Council of Architectural Registration Boards (NCARB) that the applicant has:</w:t>
      </w:r>
    </w:p>
    <w:p>
      <w:pPr>
        <w:pStyle w:val="kar_paragraph"/>
      </w:pPr>
      <w:r>
        <w:t xml:space="preserve">(a)</w:t>
      </w:r>
      <w:r>
        <w:t xml:space="preserve"> </w:t>
      </w:r>
      <w:r>
        <w:t xml:space="preserve">Met the requirements of KRS 323.050 and this administrative regulation;</w:t>
      </w:r>
    </w:p>
    <w:p>
      <w:pPr>
        <w:pStyle w:val="kar_paragraph"/>
      </w:pPr>
      <w:r>
        <w:t xml:space="preserve">(b)</w:t>
      </w:r>
      <w:r>
        <w:t xml:space="preserve"> </w:t>
      </w:r>
      <w:r>
        <w:t xml:space="preserve">Enrolled in NCARB's Architectural Experience Program (AXP) specified in Section 4 of this administrative regulation by establishing an NCARB record; and</w:t>
      </w:r>
    </w:p>
    <w:p>
      <w:pPr>
        <w:pStyle w:val="kar_paragraph"/>
      </w:pPr>
      <w:r>
        <w:t xml:space="preserve">(c)</w:t>
      </w:r>
      <w:r>
        <w:t xml:space="preserve"> </w:t>
      </w:r>
      <w:r>
        <w:t xml:space="preserve">Enrolled and is eligible as an applicant with this board to take the ARE.</w:t>
      </w:r>
    </w:p>
    <w:p>
      <w:pPr>
        <w:pStyle w:val="kar_subsection"/>
      </w:pPr>
      <w:r>
        <w:t xml:space="preserve">(3)</w:t>
      </w:r>
      <w:r>
        <w:t xml:space="preserve"> </w:t>
      </w:r>
      <w:r>
        <w:t xml:space="preserve">The documentation that includes the college transcripts required by subsection (2) of this section shall be verified, compiled, and transmitted in bound record form by the NCARB.</w:t>
      </w:r>
    </w:p>
    <w:p>
      <w:pPr>
        <w:pStyle w:val="kar_section"/>
      </w:pPr>
      <w:r>
        <w:t xml:space="preserve">Section 3.</w:t>
      </w:r>
      <w:r>
        <w:t xml:space="preserve"> </w:t>
      </w:r>
      <w:r>
        <w:t xml:space="preserve">Education Requirements. An applicant who has met the requirements of Section 2 of this administrative regulation shall hold a degree in architecture from a degree program that has been accredited by the National Architectural Accrediting Board (NAAB) not later than two (2) years after termination of enrollment.</w:t>
      </w:r>
    </w:p>
    <w:p>
      <w:pPr>
        <w:pStyle w:val="kar_section"/>
      </w:pPr>
      <w:r>
        <w:t xml:space="preserve">Section 4.</w:t>
      </w:r>
      <w:r>
        <w:t xml:space="preserve"> </w:t>
      </w:r>
      <w:r>
        <w:t xml:space="preserve">Training Requirements for Licensure.</w:t>
      </w:r>
    </w:p>
    <w:p>
      <w:pPr>
        <w:pStyle w:val="kar_subsection"/>
      </w:pPr>
      <w:r>
        <w:t xml:space="preserve">(1)</w:t>
      </w:r>
      <w:r>
        <w:t xml:space="preserve"> </w:t>
      </w:r>
      <w:r>
        <w:t xml:space="preserve">An applicant who has passed the examination shall have successfully completed the Architectural Experience Program (AXP) training requirements as provided by NCARB Architectural Experience Program (AXP) Guidelines prior to final application for licensure.</w:t>
      </w:r>
    </w:p>
    <w:p>
      <w:pPr>
        <w:pStyle w:val="kar_subsection"/>
      </w:pPr>
      <w:r>
        <w:t xml:space="preserve">(2)</w:t>
      </w:r>
      <w:r>
        <w:t xml:space="preserve"> </w:t>
      </w:r>
      <w:r>
        <w:t xml:space="preserve">The documentation of experience obtained by the completion of the Architectural Experience Program (AXP) training requirements required by subsection (1) of this section and college transcripts shall be verified, compiled, and transmitted in bound record form by the NCARB.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"Architectural Experience Program Guidelines", 2020Edition, National Council of Architectural Registration Boards,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4:00 p.m., or on the board's Web site at https://boa.ky.gov/Pages/default.aspx.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8524cd6dd442ba" /><Relationship Type="http://schemas.openxmlformats.org/officeDocument/2006/relationships/settings" Target="/word/settings.xml" Id="R4aefccae1c264fbc" /></Relationships>
</file>