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e4aa83df504a5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Architects</w:t>
      </w:r>
    </w:p>
    <w:p>
      <w:pPr>
        <w:pStyle w:val="kar_markup_header"/>
        <w:ind w:firstLine="0"/>
      </w:pPr>
      <w:r>
        <w:t>(Amendment)</w:t>
      </w:r>
    </w:p>
    <w:p>
      <w:pPr>
        <w:pStyle w:val="kar_citation"/>
      </w:pPr>
      <w:r>
        <w:t>201 KAR 19:035.</w:t>
      </w:r>
      <w:r>
        <w:t xml:space="preserve"> </w:t>
      </w:r>
      <w:r>
        <w:t xml:space="preserve">Qualifications for examination and licensure.</w:t>
      </w:r>
    </w:p>
    <w:p>
      <w:pPr>
        <w:pStyle w:val="kar_markup_metadata"/>
      </w:pPr>
      <w:r>
        <w:t xml:space="preserve">RELATES TO: </w:t>
      </w:r>
      <w:r>
        <w:t xml:space="preserve">KRS 323.050(2), (3), 323.060, 323.120(1)(a)-(j)</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323.050(2) authorizes the board to prescribe the qualifications and experience requirements for licensure. KRS 323.210(1)(b) and (2) require the board to promulgate administrative regulations governing the contents and conduct of examinations, the method and time for filing applications, and the time within which an applicant shall be examined after his or her application has been filed. This administrative regulation establishes the prerequisites for taking the examination and obtaining a license.</w:t>
      </w:r>
    </w:p>
    <w:p>
      <w:pPr>
        <w:pStyle w:val="kar_section"/>
      </w:pPr>
      <w:r>
        <w:t xml:space="preserve">Section 1.</w:t>
      </w:r>
      <w:r>
        <w:t xml:space="preserve"> </w:t>
      </w:r>
      <w:r>
        <w:t xml:space="preserve">Eligibility to Take the Architect Registration Examination (ARE). A person who possesses the qualifications prescribed in KRS 323.050, and this administrative regulation, shall be eligible to take the examination.</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The board </w:t>
      </w:r>
      <w:r>
        <w:rPr>
          <w:u w:val="single"/>
        </w:rPr>
        <w:t xml:space="preserve">may</w:t>
      </w:r>
      <w:r>
        <w:t>[</w:t>
      </w:r>
      <w:r>
        <w:rPr>
          <w:strike w:val="true"/>
        </w:rPr>
        <w:t xml:space="preserve">shall</w:t>
      </w:r>
      <w:r>
        <w:t>]</w:t>
      </w:r>
      <w:r>
        <w:t xml:space="preserve"> verify the good moral character of an applicant for examination with employers and registered architects who have knowledge of the applicant's moral character.</w:t>
      </w:r>
    </w:p>
    <w:p>
      <w:pPr>
        <w:pStyle w:val="kar_paragraph"/>
      </w:pPr>
      <w:r>
        <w:t xml:space="preserve">(b)</w:t>
      </w:r>
      <w:r>
        <w:t xml:space="preserve"> </w:t>
      </w:r>
      <w:r>
        <w:t xml:space="preserve">An applicant shall not be considered to be of good moral character if the applicant has:</w:t>
      </w:r>
    </w:p>
    <w:p>
      <w:pPr>
        <w:pStyle w:val="kar_subparagraph"/>
      </w:pPr>
      <w:r>
        <w:t xml:space="preserve">1.</w:t>
      </w:r>
      <w:r>
        <w:t xml:space="preserve"> </w:t>
      </w:r>
      <w:r>
        <w:t xml:space="preserve">Committed an act specified in KRS 323.120(1)(a) through (i);</w:t>
      </w:r>
    </w:p>
    <w:p>
      <w:pPr>
        <w:pStyle w:val="kar_subparagraph"/>
      </w:pPr>
      <w:r>
        <w:t xml:space="preserve">2.</w:t>
      </w:r>
      <w:r>
        <w:t xml:space="preserve"> </w:t>
      </w:r>
      <w:r>
        <w:t xml:space="preserve">Chronic alcoholism, persistent drug abuse, or an act of behavior that would, if the applicant were licensed, jeopardize or impair the applicant's judgment to meet professional responsibility as an architect and to act to protect the public welfare and safety; or</w:t>
      </w:r>
    </w:p>
    <w:p>
      <w:pPr>
        <w:pStyle w:val="kar_subparagraph"/>
      </w:pPr>
      <w:r>
        <w:t xml:space="preserve">3.</w:t>
      </w:r>
      <w:r>
        <w:t xml:space="preserve"> </w:t>
      </w:r>
      <w:r>
        <w:t xml:space="preserve">Violated a provision of KRS Chapter 323 or 201 KAR Chapter 19 either before or after admission to the examination.</w:t>
      </w:r>
    </w:p>
    <w:p>
      <w:pPr>
        <w:pStyle w:val="kar_paragraph"/>
      </w:pPr>
      <w:r>
        <w:t xml:space="preserve">(c)</w:t>
      </w:r>
      <w:r>
        <w:t xml:space="preserve"> </w:t>
      </w:r>
      <w:r>
        <w:t xml:space="preserve">If an applicant has violated the registration laws of another jurisdiction, the board shall determine whether the violation adversely affected the moral character of the applicant.</w:t>
      </w:r>
    </w:p>
    <w:p>
      <w:pPr>
        <w:pStyle w:val="kar_subsection"/>
      </w:pPr>
      <w:r>
        <w:t xml:space="preserve">(2)</w:t>
      </w:r>
      <w:r>
        <w:t xml:space="preserve"> </w:t>
      </w:r>
      <w:r>
        <w:t xml:space="preserve">To be eligible for examination, an applicant shall submit to the board college transcripts and verification from the National Council of Architectural Registration Boards (NCARB) that the applicant has:</w:t>
      </w:r>
    </w:p>
    <w:p>
      <w:pPr>
        <w:pStyle w:val="kar_paragraph"/>
      </w:pPr>
      <w:r>
        <w:t xml:space="preserve">(a)</w:t>
      </w:r>
      <w:r>
        <w:t xml:space="preserve"> </w:t>
      </w:r>
      <w:r>
        <w:t xml:space="preserve">Met the requirements of KRS 323.050 and this administrative regulation;</w:t>
      </w:r>
    </w:p>
    <w:p>
      <w:pPr>
        <w:pStyle w:val="kar_paragraph"/>
      </w:pPr>
      <w:r>
        <w:t xml:space="preserve">(b)</w:t>
      </w:r>
      <w:r>
        <w:t xml:space="preserve"> </w:t>
      </w:r>
      <w:r>
        <w:t xml:space="preserve">Enrolled in NCARB's </w:t>
      </w:r>
      <w:r>
        <w:rPr>
          <w:u w:val="single"/>
        </w:rPr>
        <w:t xml:space="preserve">Architectural Experience Program (AXP)</w:t>
      </w:r>
      <w:r>
        <w:t>[</w:t>
      </w:r>
      <w:r>
        <w:rPr>
          <w:strike w:val="true"/>
        </w:rPr>
        <w:t xml:space="preserve">Intern Development Program</w:t>
      </w:r>
      <w:r>
        <w:t>]</w:t>
      </w:r>
      <w:r>
        <w:t xml:space="preserve"> specified in Section 4 of this administrative regulation by establishing an NCARB record; and</w:t>
      </w:r>
    </w:p>
    <w:p>
      <w:pPr>
        <w:pStyle w:val="kar_paragraph"/>
      </w:pPr>
      <w:r>
        <w:t xml:space="preserve">(c)</w:t>
      </w:r>
      <w:r>
        <w:t xml:space="preserve"> </w:t>
      </w:r>
      <w:r>
        <w:t xml:space="preserve">Enrolled and is eligible as an applicant with this board to take the ARE.</w:t>
      </w:r>
    </w:p>
    <w:p>
      <w:pPr>
        <w:pStyle w:val="kar_subsection"/>
      </w:pPr>
      <w:r>
        <w:t xml:space="preserve">(3)</w:t>
      </w:r>
      <w:r>
        <w:t xml:space="preserve"> </w:t>
      </w:r>
      <w:r>
        <w:t xml:space="preserve">The documentation that includes the college transcripts required by subsection (2) of this section shall be verified, compiled, and transmitted in bound record form by the NCARB.</w:t>
      </w:r>
    </w:p>
    <w:p>
      <w:pPr>
        <w:pStyle w:val="kar_section"/>
      </w:pPr>
      <w:r>
        <w:t xml:space="preserve">Section 3.</w:t>
      </w:r>
      <w:r>
        <w:t xml:space="preserve"> </w:t>
      </w:r>
      <w:r>
        <w:t xml:space="preserve">Education Requirements. An applicant who has met the requirements of Section 2 of this administrative regulation shall hold a degree in architecture from a degree program that has been accredited by the National Architectural Accrediting Board </w:t>
      </w:r>
      <w:r>
        <w:rPr>
          <w:u w:val="single"/>
        </w:rPr>
        <w:t xml:space="preserve">(NAAB)</w:t>
      </w:r>
      <w:r>
        <w:t xml:space="preserve"> not later than two (2) years after termination of enrollment.</w:t>
      </w:r>
    </w:p>
    <w:p>
      <w:pPr>
        <w:pStyle w:val="kar_section"/>
      </w:pPr>
      <w:r>
        <w:t xml:space="preserve">Section 4.</w:t>
      </w:r>
      <w:r>
        <w:t xml:space="preserve"> </w:t>
      </w:r>
      <w:r>
        <w:t xml:space="preserve">Training Requirements for Licensure.</w:t>
      </w:r>
    </w:p>
    <w:p>
      <w:pPr>
        <w:pStyle w:val="kar_subsection"/>
      </w:pPr>
      <w:r>
        <w:t xml:space="preserve">(1)</w:t>
      </w:r>
      <w:r>
        <w:t xml:space="preserve"> </w:t>
      </w:r>
      <w:r>
        <w:t xml:space="preserve">An applicant who has passed the examination shall have successfully completed the </w:t>
      </w:r>
      <w:r>
        <w:rPr>
          <w:u w:val="single"/>
        </w:rPr>
        <w:t xml:space="preserve">Architectural Experience Program (AXP)</w:t>
      </w:r>
      <w:r>
        <w:t>[</w:t>
      </w:r>
      <w:r>
        <w:rPr>
          <w:strike w:val="true"/>
        </w:rPr>
        <w:t xml:space="preserve">Intern Development Program</w:t>
      </w:r>
      <w:r>
        <w:t>]</w:t>
      </w:r>
      <w:r>
        <w:t xml:space="preserve"> training requirements as provided by NCARB </w:t>
      </w:r>
      <w:r>
        <w:rPr>
          <w:u w:val="single"/>
        </w:rPr>
        <w:t xml:space="preserve">Architectural Experience Program (AXP)</w:t>
      </w:r>
      <w:r>
        <w:t>[</w:t>
      </w:r>
      <w:r>
        <w:rPr>
          <w:strike w:val="true"/>
        </w:rPr>
        <w:t xml:space="preserve">Intern Development Program</w:t>
      </w:r>
      <w:r>
        <w:t>]</w:t>
      </w:r>
      <w:r>
        <w:t xml:space="preserve"> Guidelines prior to final application for licensure.</w:t>
      </w:r>
    </w:p>
    <w:p>
      <w:pPr>
        <w:pStyle w:val="kar_subsection"/>
      </w:pPr>
      <w:r>
        <w:t xml:space="preserve">(2)</w:t>
      </w:r>
      <w:r>
        <w:t xml:space="preserve"> </w:t>
      </w:r>
      <w:r>
        <w:t xml:space="preserve">The documentation of experience obtained by the completion of the </w:t>
      </w:r>
      <w:r>
        <w:rPr>
          <w:u w:val="single"/>
        </w:rPr>
        <w:t xml:space="preserve">Architectural Experience Program (AXP)</w:t>
      </w:r>
      <w:r>
        <w:t>[</w:t>
      </w:r>
      <w:r>
        <w:rPr>
          <w:strike w:val="true"/>
        </w:rPr>
        <w:t xml:space="preserve">Intern Development Program</w:t>
      </w:r>
      <w:r>
        <w:t>]</w:t>
      </w:r>
      <w:r>
        <w:t xml:space="preserve"> training requirements required by subsection (1) of this section and college transcripts shall be verified, compiled, and transmitted in bound record form by the NCARB.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w:t>
      </w:r>
      <w:r>
        <w:rPr>
          <w:u w:val="single"/>
        </w:rPr>
        <w:t xml:space="preserve">Architectural Experience Program Guidelines", 2020</w:t>
      </w:r>
      <w:r>
        <w:t>[</w:t>
      </w:r>
      <w:r>
        <w:rPr>
          <w:strike w:val="true"/>
        </w:rPr>
        <w:t xml:space="preserve">Intern Development Program Guidelines 2015 </w:t>
      </w:r>
      <w:r>
        <w:t>]</w:t>
      </w:r>
      <w:r>
        <w:t xml:space="preserve">Edition, National Council of Architectural Registration Boards,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4:00 p.m.</w:t>
      </w:r>
      <w:r>
        <w:rPr>
          <w:u w:val="single"/>
        </w:rPr>
        <w:t xml:space="preserve">, or on the board's Web site at https://boa.ky.gov/Pages/default.aspx.</w:t>
      </w:r>
    </w:p>
    <w:p>
      <w:pPr>
        <w:pStyle w:val="kar_signature"/>
      </w:pPr>
      <w:r>
        <w:t xml:space="preserve">STEPHANIE R MCCRERY, Board President</w:t>
      </w:r>
    </w:p>
    <w:p>
      <w:pPr>
        <w:pStyle w:val="kar_signature"/>
      </w:pPr>
      <w:r>
        <w:t xml:space="preserve">CORDELIA HARBUT, Executive Director</w:t>
      </w:r>
    </w:p>
    <w:p>
      <w:pPr>
        <w:pStyle w:val="kar_normal"/>
      </w:pPr>
      <w:r>
        <w:t xml:space="preserve"/>
      </w:r>
    </w:p>
    <w:p>
      <w:pPr>
        <w:pStyle w:val="kar_approved_by"/>
      </w:pPr>
      <w:r>
        <w:t xml:space="preserve">APPROVED BY AGENCY: May 3, 2022</w:t>
      </w:r>
    </w:p>
    <w:p>
      <w:pPr>
        <w:pStyle w:val="kar_filed"/>
      </w:pPr>
      <w:r>
        <w:t xml:space="preserve">FILED WITH LRC: May 5, 2022 at 2:30 p.m.</w:t>
      </w:r>
    </w:p>
    <w:p>
      <w:pPr>
        <w:pStyle w:val="kar_normal"/>
      </w:pPr>
      <w:r>
        <w:t xml:space="preserve"/>
      </w:r>
    </w:p>
    <w:p>
      <w:pPr>
        <w:pStyle w:val="kar_comment_period"/>
      </w:pPr>
      <w:r>
        <w:t xml:space="preserve">PUBLIC HEARING AND PUBLIC COMMENT PERIOD: A public hearing on this administrative regulation shall be held on July 27, 2022, at 10:30 a.m. Eastern Time at the Kentucky Board of Architects, 155 E Main Street, Suite 300, Lexington, Kentucky 40507.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2022. Send written notification of intent to be heard at the public hearing or written comments on the proposed administrative regulation to the contact person.</w:t>
      </w:r>
    </w:p>
    <w:p>
      <w:pPr>
        <w:pStyle w:val="kar_contact_person"/>
      </w:pPr>
      <w:r>
        <w:t xml:space="preserve">CONTACT PERSON: Cordelia Harbut, Executive Director, Kentucky Board of Architects, 155 East Main Street, Suite 300, Lexington, Kentucky 40507, phone (859) 246-2069, fax (859) 246-2431, email boa.irc@ky.gov.</w:t>
      </w:r>
    </w:p>
    <w:p>
      <w:pPr>
        <w:pStyle w:val="kar_form_name"/>
      </w:pPr>
      <w:r>
        <w:t xml:space="preserve">REGULATORY IMPACT ANALYSIS AND TIERING STATEMENT</w:t>
      </w:r>
    </w:p>
    <w:p>
      <w:pPr>
        <w:pStyle w:val="kar_normal"/>
        <w:ind w:left="0"/>
      </w:pPr>
      <w:r>
        <w:t xml:space="preserve">Contact Person:</w:t>
      </w:r>
      <w:r>
        <w:t xml:space="preserve"> Cordelia Harbut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establishes the prerequisites for taking the examination and obtaining an architect license in Kentucky.</w:t>
      </w:r>
    </w:p>
    <w:p>
      <w:pPr>
        <w:pStyle w:val="kar_normal"/>
        <w:ind w:left="576"/>
      </w:pPr>
      <w:r>
        <w:t xml:space="preserve">(b) The necessity of this administrative regulation:</w:t>
      </w:r>
    </w:p>
    <w:p>
      <w:pPr>
        <w:pStyle w:val="kar_normal"/>
        <w:ind w:left="720"/>
      </w:pPr>
      <w:r>
        <w:t xml:space="preserve">This administrative regulation is necessary to specify the eligibility requirement for examination, and to detail the general provisions of becoming a Kentucky licensed architect.</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with KRS 323.210 (1)(b), (2) which requires the board to promulgate administrative regulation governing the contents and conduct of examinations, the method and time for filing application, and the time with which and applicant shall be examined after his application has been filed.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information on the qualifications for eligibility for examination, to meet requirements necessary for becoming a Kentucky licensed architect.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give the Kentucky Board of Architects the discretion of verifying an examination applicant is of good moral character rather than the mandatory obligation of verifying it. The amendment will also update outdated titles and editions of referenced materials.</w:t>
      </w:r>
    </w:p>
    <w:p>
      <w:pPr>
        <w:pStyle w:val="kar_normal"/>
        <w:ind w:left="576"/>
      </w:pPr>
      <w:r>
        <w:t xml:space="preserve">(b) The necessity of the amendment to this administrative regulation:</w:t>
      </w:r>
    </w:p>
    <w:p>
      <w:pPr>
        <w:pStyle w:val="kar_normal"/>
        <w:ind w:left="720"/>
      </w:pPr>
      <w:r>
        <w:t xml:space="preserve">The Kentucky Board of Architects will be able to review the good moral character of an applicant only when it is deemed necessary making the application process more streamlined and efficient.</w:t>
      </w:r>
    </w:p>
    <w:p>
      <w:pPr>
        <w:pStyle w:val="kar_normal"/>
        <w:ind w:left="576"/>
      </w:pPr>
      <w:r>
        <w:t xml:space="preserve">(c) How the amendment conforms to the content of the authorizing statutes:</w:t>
      </w:r>
    </w:p>
    <w:p>
      <w:pPr>
        <w:pStyle w:val="kar_normal"/>
        <w:ind w:left="720"/>
      </w:pPr>
      <w:r>
        <w:t xml:space="preserve">The authorizing statute allows the Board to promulgate all regulations pertaining to the review of applicant’s qualifications.</w:t>
      </w:r>
    </w:p>
    <w:p>
      <w:pPr>
        <w:pStyle w:val="kar_normal"/>
        <w:ind w:left="576"/>
      </w:pPr>
      <w:r>
        <w:t xml:space="preserve">(d) How the amendment will assist in the effective administration of the statutes:</w:t>
      </w:r>
    </w:p>
    <w:p>
      <w:pPr>
        <w:pStyle w:val="kar_normal"/>
        <w:ind w:left="720"/>
      </w:pPr>
      <w:r>
        <w:t xml:space="preserve">The amendment to this regulation will provide an efficient review of an applicant’s qualifications, while maintaining the comprehensive evaluation of their qualifications. The amendment will also allow the most recent titles and editions of programs and materials to ensure an applicant’s compliance with the application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estimates individuals seeking application for examination and licensure is approximately fifteen (15) annually.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entity will be required to meet educational and training requirements and be of good moral character. The entity will not be required to meet any new or additional education, training, or moral requirements in the amended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will be based on the college the entities select. There will be no additional cost to the entity to obtain the educational or training requirements in the amended regulation.</w:t>
      </w:r>
    </w:p>
    <w:p>
      <w:pPr>
        <w:pStyle w:val="kar_normal"/>
        <w:ind w:left="576"/>
      </w:pPr>
      <w:r>
        <w:t xml:space="preserve">(c) As a result of compliance, what benefits will accrue to the entities identified in question (3):</w:t>
      </w:r>
    </w:p>
    <w:p>
      <w:pPr>
        <w:pStyle w:val="kar_normal"/>
        <w:ind w:left="720"/>
      </w:pPr>
      <w:r>
        <w:t xml:space="preserve">The entities will acquire the mandated education and training needed to be eligible to begin taking the Architect Registration Examination (ARE).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 will be incurred.</w:t>
      </w:r>
    </w:p>
    <w:p>
      <w:pPr>
        <w:pStyle w:val="kar_normal"/>
        <w:ind w:left="576"/>
      </w:pPr>
      <w:r>
        <w:t xml:space="preserve">(b) On a continuing basis:</w:t>
      </w:r>
    </w:p>
    <w:p>
      <w:pPr>
        <w:pStyle w:val="kar_normal"/>
        <w:ind w:left="720"/>
      </w:pPr>
      <w:r>
        <w:t xml:space="preserve">No new cost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is a self-supporting agency. It is funded entirely through fees assessed for regulating its profession.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is required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was not appropriate as the regulation applies only to individuals seeking examination and licensure in Kentucky.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individuals seeking application for examination with the Kentucky Board of Architects.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323.210(1)(b) and (2) authorizes the action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administrative regulation does not directly affect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with this administrative regulation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with this administrative regulation in subsequent years.</w:t>
      </w:r>
    </w:p>
    <w:p>
      <w:pPr>
        <w:pStyle w:val="kar_normal"/>
        <w:ind w:left="576"/>
      </w:pPr>
      <w:r>
        <w:t xml:space="preserve">(c) How much will it cost to administer this program for the first year?</w:t>
      </w:r>
    </w:p>
    <w:p>
      <w:pPr>
        <w:pStyle w:val="kar_normal"/>
        <w:ind w:left="720"/>
      </w:pPr>
      <w:r>
        <w:t xml:space="preserve">The administrative regulation does not result in additional cost the first year.</w:t>
      </w:r>
    </w:p>
    <w:p>
      <w:pPr>
        <w:pStyle w:val="kar_normal"/>
        <w:ind w:left="576"/>
      </w:pPr>
      <w:r>
        <w:t xml:space="preserve">(d) How much will it cost to administer this program for subsequent years?</w:t>
      </w:r>
    </w:p>
    <w:p>
      <w:pPr>
        <w:pStyle w:val="kar_normal"/>
        <w:ind w:left="720"/>
      </w:pPr>
      <w:r>
        <w:t xml:space="preserve">The administrative regulation does not result in additional cost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This administrative regulation will not directly affect expenditures of the regulated entities.</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produce any const savings of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produce any const savings of the regulated entities at any time.</w:t>
      </w:r>
    </w:p>
    <w:p>
      <w:pPr>
        <w:pStyle w:val="kar_normal"/>
        <w:ind w:left="576"/>
      </w:pPr>
      <w:r>
        <w:t xml:space="preserve">(c) How much will it cost the regulated entities for the first year?</w:t>
      </w:r>
    </w:p>
    <w:p>
      <w:pPr>
        <w:pStyle w:val="kar_normal"/>
        <w:ind w:left="720"/>
      </w:pPr>
      <w:r>
        <w:t xml:space="preserve">There will be no direct cost to the entity however, meeting the educational requirement will be based on the college or university the entity selects.</w:t>
      </w:r>
    </w:p>
    <w:p>
      <w:pPr>
        <w:pStyle w:val="kar_normal"/>
        <w:ind w:left="576"/>
      </w:pPr>
      <w:r>
        <w:t xml:space="preserve">(d) How much will it cost the regulated entities for subsequent years?</w:t>
      </w:r>
    </w:p>
    <w:p>
      <w:pPr>
        <w:pStyle w:val="kar_normal"/>
        <w:ind w:left="720"/>
      </w:pPr>
      <w:r>
        <w:t xml:space="preserve">There will be no direct cost to the entity however, meeting the educational requirement will be based on the college or university the entity selects.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Post-educational cost cannot be determined due to the variables associated with acquiring architect degree throughout the United States.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6c41a91fc4eb6" /><Relationship Type="http://schemas.openxmlformats.org/officeDocument/2006/relationships/settings" Target="/word/settings.xml" Id="Rdffe12a1ebc74cc9" /></Relationships>
</file>