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13a55e721d47a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(Amendment)</w:t>
      </w:r>
    </w:p>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t>
      </w:r>
      <w:r>
        <w:rPr>
          <w:u w:val="single"/>
        </w:rPr>
        <w:t xml:space="preserve">https://ndc.services.cdc.gov/</w:t>
      </w:r>
      <w:r>
        <w:t>[</w:t>
      </w:r>
      <w:r>
        <w:rPr>
          <w:strike w:val="true"/>
        </w:rPr>
        <w:t xml:space="preserve">wwwn.cdc.gov/nndss</w:t>
      </w:r>
      <w:r>
        <w:t>]</w:t>
      </w:r>
      <w:r>
        <w:t xml:space="preserve">;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rPr>
          <w:u w:val="single"/>
        </w:rPr>
        <w:t xml:space="preserve">Case reports may be made electronically through the Kentucky Health Information Exchange. Electronic case reports shall include the information required by paragraph (c) of this subsection.</w:t>
      </w:r>
    </w:p>
    <w:p>
      <w:pPr>
        <w:pStyle w:val="kar_paragraph"/>
      </w:pPr>
      <w:r>
        <w:rPr>
          <w:u w:val="single"/>
        </w:rPr>
        <w:t xml:space="preserve">(c)</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rPr>
          <w:u w:val="single"/>
        </w:rPr>
        <w:t xml:space="preserve">(d)</w:t>
      </w:r>
      <w:r>
        <w:t>[</w:t>
      </w:r>
      <w:r>
        <w:rPr>
          <w:strike w:val="true"/>
        </w:rPr>
        <w:t xml:space="preserve">(c)</w:t>
      </w:r>
      <w:r>
        <w:t>]</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 in accordance with subsection (2) of this section;</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the following reporting is required:</w:t>
      </w:r>
    </w:p>
    <w:p>
      <w:pPr>
        <w:pStyle w:val="kar_paragraph"/>
      </w:pPr>
      <w:r>
        <w:t xml:space="preserve">(a)</w:t>
      </w:r>
      <w:r>
        <w:t xml:space="preserve"> </w:t>
      </w:r>
      <w:r>
        <w:t xml:space="preserve">Laboratory reports of:</w:t>
      </w:r>
    </w:p>
    <w:p>
      <w:pPr>
        <w:pStyle w:val="kar_subparagraph"/>
      </w:pPr>
      <w:r>
        <w:t xml:space="preserve">1.</w:t>
      </w:r>
      <w:r>
        <w:t xml:space="preserve"> </w:t>
      </w:r>
      <w:r>
        <w:t xml:space="preserve">Positive and negative test results for SARS-CoV-2 viral detection using </w:t>
      </w:r>
      <w:r>
        <w:t>[</w:t>
      </w:r>
      <w:r>
        <w:rPr>
          <w:strike w:val="true"/>
        </w:rPr>
        <w:t xml:space="preserve">antigen or </w:t>
      </w:r>
      <w:r>
        <w:t>]</w:t>
      </w:r>
      <w:r>
        <w:t xml:space="preserve">Nucleic Acid Amplification Test (NAAT), including polymerase chain reaction (PCR);</w:t>
      </w:r>
    </w:p>
    <w:p>
      <w:pPr>
        <w:pStyle w:val="kar_subparagraph"/>
      </w:pPr>
      <w:r>
        <w:t xml:space="preserve">2.</w:t>
      </w:r>
      <w:r>
        <w:t xml:space="preserve"> </w:t>
      </w:r>
      <w:r>
        <w:rPr>
          <w:u w:val="single"/>
        </w:rPr>
        <w:t xml:space="preserve">Positive test results for SARS-CoV-2 viral detection using antigen immunoassays; and</w:t>
      </w:r>
    </w:p>
    <w:p>
      <w:pPr>
        <w:pStyle w:val="kar_subparagraph"/>
      </w:pPr>
      <w:r>
        <w:rPr>
          <w:u w:val="single"/>
        </w:rPr>
        <w:t xml:space="preserve">3.</w:t>
      </w:r>
      <w:r>
        <w:t xml:space="preserve"> </w:t>
      </w:r>
      <w:r>
        <w:t xml:space="preserve">SARS-CoV-2 molecular sequencing</w:t>
      </w:r>
      <w:r>
        <w:t>[</w:t>
      </w:r>
      <w:r>
        <w:rPr>
          <w:strike w:val="true"/>
        </w:rPr>
        <w:t xml:space="preserve">; and</w:t>
      </w:r>
      <w:r>
        <w:t>]</w:t>
      </w:r>
    </w:p>
    <w:p>
      <w:pPr>
        <w:pStyle w:val="kar_subparagraph"/>
      </w:pPr>
      <w:r>
        <w:t>[</w:t>
      </w:r>
      <w:r>
        <w:rPr>
          <w:strike w:val="true"/>
        </w:rPr>
        <w:t xml:space="preserve">3.</w:t>
      </w:r>
      <w:r>
        <w:t>]</w:t>
      </w:r>
      <w:r>
        <w:t xml:space="preserve"> </w:t>
      </w:r>
      <w:r>
        <w:t>[</w:t>
      </w:r>
      <w:r>
        <w:rPr>
          <w:strike w:val="true"/>
        </w:rPr>
        <w:t xml:space="preserve">Positive test results for IgM or IgG antibodies to SARS-CoV-2 nucleocapsid protein</w:t>
      </w:r>
      <w:r>
        <w:t>]</w:t>
      </w:r>
      <w:r>
        <w:t xml:space="preserve">.</w:t>
      </w:r>
    </w:p>
    <w:p>
      <w:pPr>
        <w:pStyle w:val="kar_paragraph"/>
      </w:pPr>
      <w:r>
        <w:t xml:space="preserve">(b)</w:t>
      </w:r>
      <w:r>
        <w:t xml:space="preserve"> </w:t>
      </w:r>
      <w:r>
        <w:t xml:space="preserve">Health professional case report when:</w:t>
      </w:r>
    </w:p>
    <w:p>
      <w:pPr>
        <w:pStyle w:val="kar_subparagraph"/>
      </w:pPr>
      <w:r>
        <w:t xml:space="preserve">1.</w:t>
      </w:r>
      <w:r>
        <w:t xml:space="preserve"> </w:t>
      </w:r>
      <w:r>
        <w:t xml:space="preserve">A COVID-19 diagnosis of a patient for whom a laboratory report is not independently submitted;</w:t>
      </w:r>
    </w:p>
    <w:p>
      <w:pPr>
        <w:pStyle w:val="kar_subparagraph"/>
      </w:pPr>
      <w:r>
        <w:t xml:space="preserve">2.</w:t>
      </w:r>
      <w:r>
        <w:t xml:space="preserve"> </w:t>
      </w:r>
      <w:r>
        <w:t xml:space="preserve">A COVID-19 diagnosis of a patient is admitted to an inpatient medical facility; or</w:t>
      </w:r>
    </w:p>
    <w:p>
      <w:pPr>
        <w:pStyle w:val="kar_subparagraph"/>
      </w:pPr>
      <w:r>
        <w:t xml:space="preserve">3.</w:t>
      </w:r>
      <w:r>
        <w:t xml:space="preserve"> </w:t>
      </w:r>
      <w:r>
        <w:t xml:space="preserve">There is a COVID-19 associated mortality.</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t>
      </w:r>
      <w:r>
        <w:rPr>
          <w:u w:val="single"/>
        </w:rPr>
        <w:t xml:space="preserve">https:</w:t>
      </w:r>
      <w:r>
        <w:t xml:space="preserve">//www.cdc.gov/nhsn/pdfs/pscmanual/11pscaurcurrent.pdf.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w:t>
      </w:r>
      <w:r>
        <w:rPr>
          <w:u w:val="single"/>
        </w:rPr>
        <w:t xml:space="preserve">(c)</w:t>
      </w:r>
      <w:r>
        <w:t>[</w:t>
      </w:r>
      <w:r>
        <w:rPr>
          <w:strike w:val="true"/>
        </w:rPr>
        <w:t xml:space="preserve">(b)</w:t>
      </w:r>
      <w:r>
        <w:t>]</w:t>
      </w:r>
      <w:r>
        <w:t xml:space="preserve">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w:t>
      </w:r>
      <w:r>
        <w:rPr>
          <w:u w:val="single"/>
        </w:rPr>
        <w:t xml:space="preserve">(c)</w:t>
      </w:r>
      <w:r>
        <w:t>[</w:t>
      </w:r>
      <w:r>
        <w:rPr>
          <w:strike w:val="true"/>
        </w:rPr>
        <w:t xml:space="preserve">(b)</w:t>
      </w:r>
      <w:r>
        <w:t>]</w:t>
      </w:r>
      <w:r>
        <w:t xml:space="preserve">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w:t>
      </w:r>
      <w:r>
        <w:rPr>
          <w:u w:val="single"/>
        </w:rPr>
        <w:t xml:space="preserve">(c)</w:t>
      </w:r>
      <w:r>
        <w:t>[</w:t>
      </w:r>
      <w:r>
        <w:rPr>
          <w:strike w:val="true"/>
        </w:rPr>
        <w:t xml:space="preserve">(b)</w:t>
      </w:r>
      <w:r>
        <w:t>]</w:t>
      </w:r>
      <w:r>
        <w:t xml:space="preserve">.</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25, 2022</w:t>
      </w:r>
    </w:p>
    <w:p>
      <w:pPr>
        <w:pStyle w:val="kar_filed"/>
      </w:pPr>
      <w:r>
        <w:t xml:space="preserve">FILED WITH LRC: April 26, 2022 at 12:25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normal"/>
        <w:ind w:left="576"/>
      </w:pPr>
      <w:r>
        <w:t xml:space="preserve">(b) The necessity of this administrative regulation:</w:t>
      </w:r>
    </w:p>
    <w:p>
      <w:pPr>
        <w:pStyle w:val="kar_normal"/>
        <w:ind w:left="720"/>
      </w:pPr>
      <w:r>
        <w:t xml:space="preserve">KRS 211.180(1) requires the cabinet to implement and maintain a statewide program for the detection, prevention, and control of reportable diseases. KRS 214.010 requires every physician, advanced practice registered nurse, and every head of family to notify the local health department of the existence of diseases and conditions designated by administrative regulation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delineates which diseases are reportable including the urgency of the notification.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allow clinicians including every physician, advanced practice registered nurse, and head of family to notify the local health department of the existence of the diseases specified in the administrative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removes the requirement for healthcare facilities to submit a negative COVID-19 antigen test results, removes the requirement for reporting COVID-19 antibody test results, and allows for the submission of electronic case reporting through the Kentucky Health Information Exchange.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provide relief of the administrative burden for healthcare facilities due to changes for COVID-19 case reporting requirements issued by the Secretary of the Department for Health and Human Services, and to allow healthcare facilities to utilize electronic case reporting in lieu of submitting a faxed or mailed paper form.</w:t>
      </w:r>
    </w:p>
    <w:p>
      <w:pPr>
        <w:pStyle w:val="kar_normal"/>
        <w:ind w:left="576"/>
      </w:pPr>
      <w:r>
        <w:t xml:space="preserve">(c) How the amendment conforms to the content of the authorizing statutes:</w:t>
      </w:r>
    </w:p>
    <w:p>
      <w:pPr>
        <w:pStyle w:val="kar_normal"/>
        <w:ind w:left="720"/>
      </w:pPr>
      <w:r>
        <w:t xml:space="preserve">KRS 211.180(1) requires the cabinet to implement and maintain a statewide program for the detection, prevention, and control of reportable diseases. KRS 214.010 requires every physician, advanced practice registered nurse, and every head of family to notify the local health department of the existence of diseases and conditions designated by administrative regulation of the cabinet.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provides relief of the administrative burden for healthcare providers by eliminating the requirement to report negative COVID-19 antigen test results and will allow healthcare facilities to submit case reports electronically which will provide for a better response time for case investigation.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entities affected by this administrative regulation include all health facilities as defined by KRS 216B.015(13), health professionals licensed under KRS Chapters 311 through 314, medical laboratories as defined by KRS 333.020(3), national reference laboratories contracted by Kentucky health professionals, laboratories, or healthcare facilities, pharmacists licensed under KRS Chapter 315, and veterinarians licensed under KRS Chapter 321.</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Healthcare facilities will need to be aware of the change in COVID-19 reporting requirements and will need to determine if they begin using the Kentucky Health Information Exchange for case reporting.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associated with compliance is unknown. Healthcare facilities and physicians already report communicable diseases.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benefits of the timely and appropriate prevention and control of communicable diseases will be afforded to all citizens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is no increase in ongoing costs associated with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reportable disease programs affected by this administrative regulation are funded through a mix of state general fund dollars, federal dollars, and specialized grants.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changes with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emergency administrative regulation does not contain fees.</w:t>
      </w:r>
    </w:p>
    <w:p>
      <w:pPr>
        <w:pStyle w:val="kar_normal"/>
        <w:ind w:left="288"/>
      </w:pPr>
      <w:r>
        <w:t xml:space="preserve">(9) TIERING: Is tiering applied?</w:t>
      </w:r>
    </w:p>
    <w:p>
      <w:pPr>
        <w:pStyle w:val="kar_normal"/>
        <w:ind w:left="432"/>
      </w:pPr>
      <w:r>
        <w:t xml:space="preserve">Tiering is not applied. While the list of reportable diseases and conditions is separated by immediate, urgent, priority, routine, or general notification, all healthcare facilities and physicians are required to report any known communicable disease.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emergency administrative regulation impacts the Division of Epidemiology and Health Planning, as well as all local health departments.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211.090(3), 211.180(1), and 214.010.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There are no increased costs to administer this program in the first year.</w:t>
      </w:r>
    </w:p>
    <w:p>
      <w:pPr>
        <w:pStyle w:val="kar_normal"/>
        <w:ind w:left="576"/>
      </w:pPr>
      <w:r>
        <w:t xml:space="preserve">(d) How much will it cost to administer this program for subsequent years?</w:t>
      </w:r>
    </w:p>
    <w:p>
      <w:pPr>
        <w:pStyle w:val="kar_normal"/>
        <w:ind w:left="720"/>
      </w:pPr>
      <w:r>
        <w:t xml:space="preserve">There are no increased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result in cost savings for those health care facilities that elect to utilize the Kentucky Health Information Exchange for submission.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result in cost savings for those health care facilities that elect to utilize the Kentucky Health Information Exchange for submission.</w:t>
      </w:r>
    </w:p>
    <w:p>
      <w:pPr>
        <w:pStyle w:val="kar_normal"/>
        <w:ind w:left="576"/>
      </w:pPr>
      <w:r>
        <w:t xml:space="preserve">(c) How much will it cost the regulated entities for the first year?</w:t>
      </w:r>
    </w:p>
    <w:p>
      <w:pPr>
        <w:pStyle w:val="kar_normal"/>
        <w:ind w:left="720"/>
      </w:pPr>
      <w:r>
        <w:t xml:space="preserve">There will be no costs to the regulated entities.</w:t>
      </w:r>
    </w:p>
    <w:p>
      <w:pPr>
        <w:pStyle w:val="kar_normal"/>
        <w:ind w:left="576"/>
      </w:pPr>
      <w:r>
        <w:t xml:space="preserve">(d) How much will it cost the regulated entities for subsequent years?</w:t>
      </w:r>
    </w:p>
    <w:p>
      <w:pPr>
        <w:pStyle w:val="kar_normal"/>
        <w:ind w:left="720"/>
      </w:pPr>
      <w:r>
        <w:t xml:space="preserve">There will be no costs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result in cost savings for those health care facilities that elect to utilize the Kentucky Health Information Exchange for submission.</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regulated entities or state or local governments.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f33e0ea1494233" /><Relationship Type="http://schemas.openxmlformats.org/officeDocument/2006/relationships/settings" Target="/word/settings.xml" Id="R4d213bea8474445f" /></Relationships>
</file>