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09d46f0e64c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104 KAR 1:030.</w:t>
      </w:r>
      <w:r>
        <w:t xml:space="preserve"> </w:t>
      </w:r>
      <w:r>
        <w:t xml:space="preserve">Recordkeeping and reporting by employers, labor organizations and employment agencies.</w:t>
      </w:r>
    </w:p>
    <w:p>
      <w:pPr>
        <w:pStyle w:val="kar_markup_metadata"/>
      </w:pPr>
      <w:r>
        <w:t xml:space="preserve">RELATES TO: </w:t>
      </w:r>
      <w:r>
        <w:t xml:space="preserve">KRS 344.040, 344.060, 344.500</w:t>
      </w:r>
    </w:p>
    <w:p>
      <w:pPr>
        <w:pStyle w:val="kar_markup_metadata"/>
      </w:pPr>
      <w:r>
        <w:t xml:space="preserve">STATUTORY AUTHORITY: </w:t>
      </w:r>
      <w:r>
        <w:t xml:space="preserve">KRS 344.250</w:t>
      </w:r>
    </w:p>
    <w:p>
      <w:pPr>
        <w:pStyle w:val="kar_markup_metadata"/>
      </w:pPr>
      <w:r>
        <w:t xml:space="preserve">NECESSITY, FUNCTION, AND CONFORMITY: </w:t>
      </w:r>
      <w:r>
        <w:t xml:space="preserve">This administrative regulation establishes the procedures to be utilized by employers, labor organizations and employment agencies with respect to the maintenance and preservation of employment records and employment reports.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"Records relevant to the determination" means 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Personnel or employment records relating to the complainant and other employees holding positions similar to that held or sought by the complainant;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Application forms or test papers completed by the complainant and of other applicants for the same position;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Personnel or employment records relating to the complainant.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"Final disposition of the complaint" means the expiration of the statutory period within which the complainant may appeal an administrative order or commence a judicial action.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Employer Information Report.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Upon receipt of a complaint of employment discrimination, an employer shall provide a current employer information report.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report shall include a workforce breakdown of the employers' temporary and permanent employees within the Commonwealth of Kentucky.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report shall contain a breakdown of the employers' workforce by: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Race;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Age;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National origin; or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Sex.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An employer may acquire the information necessary for completion either by: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Visual surveys;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By the maintenance of postemployment records.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Postemployment records which identify employees by race, color, religion, disability, age, national origin or sex shall be kept separately from personnel records available to those responsible for personnel decisions.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employer may substitute a comparable federal government employer information report.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If the comparable government employer information report does not provide a current workforce breakdown descriptive of employees actual job categories, the employer shall update or modify the information contained in the report.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Preservation of Records Made or Kept.</w:t>
      </w:r>
    </w:p>
    <w:p>
      <w:pPr>
        <w:pStyle w:val="kar_subsection"/>
      </w:pPr>
      <w:r>
        <w:t xml:space="preserve">(1)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personnel or employment record, made or kept by an employer, shall be preserved by the employer for a period of one (1) year from the date of the: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Making of the record;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Personnel action involved, whichever occurs later.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These records shall include: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Requests for reasonable accommodation;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Application forms;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Other records related to: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Hiring;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Promotion;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Demotion;</w:t>
      </w:r>
    </w:p>
    <w:p>
      <w:pPr>
        <w:pStyle w:val="kar_clause"/>
      </w:pPr>
      <w:r>
        <w:t xml:space="preserve">d.</w:t>
      </w:r>
      <w:r>
        <w:t xml:space="preserve"> </w:t>
      </w:r>
      <w:r>
        <w:t xml:space="preserve">Transfer;</w:t>
      </w:r>
    </w:p>
    <w:p>
      <w:pPr>
        <w:pStyle w:val="kar_clause"/>
      </w:pPr>
      <w:r>
        <w:t xml:space="preserve">e.</w:t>
      </w:r>
      <w:r>
        <w:t xml:space="preserve"> </w:t>
      </w:r>
      <w:r>
        <w:t xml:space="preserve">Lay-off;</w:t>
      </w:r>
    </w:p>
    <w:p>
      <w:pPr>
        <w:pStyle w:val="kar_clause"/>
      </w:pPr>
      <w:r>
        <w:t xml:space="preserve">f.</w:t>
      </w:r>
      <w:r>
        <w:t xml:space="preserve"> </w:t>
      </w:r>
      <w:r>
        <w:t xml:space="preserve">Termination; and</w:t>
      </w:r>
    </w:p>
    <w:p>
      <w:pPr>
        <w:pStyle w:val="kar_clause"/>
      </w:pPr>
      <w:r>
        <w:t xml:space="preserve">g.</w:t>
      </w:r>
      <w:r>
        <w:t xml:space="preserve"> </w:t>
      </w:r>
      <w:r>
        <w:t xml:space="preserve">Terms of compensation.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Upon receipt of a complaint of discrimination, the respondent employer shall preserve all employee personnel records relevant to the determination until final disposition of the complaint.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(HR-3; 1 Ky.R. 237; eff. 1-8-75; Am. 18 Ky.R. 2867; 3183; eff. 4-14-92; 19 Ky.R. 2082; 2392; eff. 5-10-93; Crt eff. 1-29-2020.)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4d4dac00864965" /><Relationship Type="http://schemas.openxmlformats.org/officeDocument/2006/relationships/settings" Target="/word/settings.xml" Id="R012346e653104c67" /></Relationships>
</file>