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86280337442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104 KAR 1:070.</w:t>
      </w:r>
      <w:r>
        <w:t xml:space="preserve"> </w:t>
      </w:r>
      <w:r>
        <w:t xml:space="preserve">Records and reports for apprenticeships and training programs.</w:t>
      </w:r>
    </w:p>
    <w:p>
      <w:pPr>
        <w:pStyle w:val="kar_markup_metadata"/>
      </w:pPr>
      <w:r>
        <w:t xml:space="preserve">RELATES TO: </w:t>
      </w:r>
      <w:r>
        <w:t xml:space="preserve">KRS 344.070</w:t>
      </w:r>
    </w:p>
    <w:p>
      <w:pPr>
        <w:pStyle w:val="kar_markup_metadata"/>
      </w:pPr>
      <w:r>
        <w:t xml:space="preserve">STATUTORY AUTHORITY: </w:t>
      </w:r>
      <w:r>
        <w:t xml:space="preserve">KRS 344.250(3)</w:t>
      </w:r>
    </w:p>
    <w:p>
      <w:pPr>
        <w:pStyle w:val="kar_markup_metadata"/>
      </w:pPr>
      <w:r>
        <w:t xml:space="preserve">NECESSITY, FUNCTION, AND CONFORMITY: </w:t>
      </w:r>
      <w:r>
        <w:t xml:space="preserve">This administrative regulation establishes the requirement governing the submission, retention, content, and substitution of records and reports by persons covered by KRS 344.250(3).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Retention of Records.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apprenticeship or training program shall keep a list of applicants according to race, national origin, sex and age.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list shall be maintained: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In chronological order;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 a period of two (2) years.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list of requests for reasonable accommodations by persons with disabilities shall also be maintained for two (2) years.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Enrollment Records.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apprenticeship or training program shall furnish to the commission, upon request a breakdown of current enrollment by race, national origin, sex and age.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list of requests for reasonable accommodations from persons with disabilities shall also be furnished upon request.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Substitution of Records. The commission may when necessary for a complete investigation disallow substitution of reports previously submitted to other governmental agencies.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 Ky.R. 673; Am. 745; eff. 5-4-77; 18 Ky.R. 2871; eff. 4-14-92; 19 Ky.R. 2087; 2395; eff. 5-10-93; Crt eff. 1-29-2020.)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3cb34df88a406a" /><Relationship Type="http://schemas.openxmlformats.org/officeDocument/2006/relationships/settings" Target="/word/settings.xml" Id="R0b1af6c3ae064627" /></Relationships>
</file>