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fd468b46514dbb"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1/2016,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1/2016,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for RN and APRN Licensure", 1/2016, Kentucky Board of Nursing;</w:t>
      </w:r>
    </w:p>
    <w:p>
      <w:pPr>
        <w:pStyle w:val="kar_paragraph"/>
      </w:pPr>
      <w:r>
        <w:t xml:space="preserve">(f)</w:t>
      </w:r>
      <w:r>
        <w:t xml:space="preserve"> </w:t>
      </w:r>
      <w:r>
        <w:t xml:space="preserve">"Application for Retired Status", 8/2004, Kentucky Board of Nursing;</w:t>
      </w:r>
    </w:p>
    <w:p>
      <w:pPr>
        <w:pStyle w:val="kar_paragraph"/>
      </w:pPr>
      <w:r>
        <w:t xml:space="preserve">(g)</w:t>
      </w:r>
      <w:r>
        <w:t xml:space="preserve"> </w:t>
      </w:r>
      <w:r>
        <w:t xml:space="preserve">"Annual Licensure Renewal Application: APRN with RN Compact License (not Kentucky)", 02/2022, Kentucky Board of Nursing;</w:t>
      </w:r>
    </w:p>
    <w:p>
      <w:pPr>
        <w:pStyle w:val="kar_paragraph"/>
      </w:pPr>
      <w:r>
        <w:t xml:space="preserve">(h)</w:t>
      </w:r>
      <w:r>
        <w:t xml:space="preserve"> </w:t>
      </w:r>
      <w:r>
        <w:t xml:space="preserve">"Annual Licensure Renewal Application, APRN with Kentucky RN License", 02/2022, Kentucky Board of Nursing; and</w:t>
      </w:r>
    </w:p>
    <w:p>
      <w:pPr>
        <w:pStyle w:val="kar_paragraph"/>
      </w:pPr>
      <w:r>
        <w:t xml:space="preserve">(i)</w:t>
      </w:r>
      <w:r>
        <w:t xml:space="preserve"> </w:t>
      </w:r>
      <w:r>
        <w:t xml:space="preserve">"APRN Practice Data", 6/2012,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https://kbn.ky.gov/conpro/Pages/Laws-and-Regulations.aspx.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 (13 Ky.R. 1963; eff. 6-9-1987; 14 Ky.R. 596; eff. 11-6-1987; 19 Ky.R. 2674; eff. 8-6-1993; 20 Ky.R. 2047; eff. 3-14-1994; 3221; eff. 8-4-1994; 23 Ky.R. 3077; 3560; eff. 3-19-1997; 24 Ky.R. 1757; 24 Ky.R. 1757; 2112; eff. 4-13-1998; 25 Ky.R. 598; 1034; eff. 11-18-1998; 1945; eff. 4-21-1999; 26 Ky.R. 1693; 1943; eff. 5-10-2000; 28 Ky.R. 682; eff. 10-17-2001; 29 Ky.R. 1302; eff. 1-15-2003; 30 Ky.R. 384; eff. 10-15-2003; 31 Ky.R. 804; 1062; eff. 1-4-2005; 32 Ky.R. 298; eff. 10-19-2005; 32 Ky.R. 2069; eff. 7-24-2006; 33 Ky.R. 4207; eff. 8-16-2007; 36 Ky.R. 528; 781; eff. 10-21-2009; 1980; eff. 5-7-2010; 37 Ky.R. 434; 10-20-2010; 38 Ky.R. 299; 10-19-2011; 39 Ky.R. 258; eff. 10-17-2012; 40 Ky.R. 2605; 41 Ky.R. 26; eff. 8-1-2014; 42 Ky.R. 497; eff. 11-6-2015; 42 Ky.R. 497, 2510; eff. 6-3-2016; 44 Ky.R. 2246, 2478; eff. 6-20-2018; 45 KY.R. 3469, 46 Ky.R. 420; eff. 8-19-2019; 46 Ky.R. 2691; 47 Ky.R. 58; eff. 7-29-2020; 47 Ky.R. 1823, 2581; eff. 6-16-2021; 48 Ky.R. 2618, 49 Ky.R. 20; eff. 8-25-2022; 49 Ky.R. 1346, 1762;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bafb8d6dae408d" /><Relationship Type="http://schemas.openxmlformats.org/officeDocument/2006/relationships/settings" Target="/word/settings.xml" Id="Rc5a44b42a2b040d8" /></Relationships>
</file>