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6c83d636af416a" /></Relationships>
</file>

<file path=word/document.xml><?xml version="1.0" encoding="utf-8"?>
<w:document xmlns:w="http://schemas.openxmlformats.org/wordprocessingml/2006/main">
  <w:body>
    <w:p>
      <w:pPr>
        <w:pStyle w:val="kar_citation"/>
      </w:pPr>
      <w:r>
        <w:t>201 KAR 43:010.</w:t>
      </w:r>
      <w:r>
        <w:t xml:space="preserve"> </w:t>
      </w:r>
      <w:r>
        <w:t xml:space="preserve">Application procedures for licensure.</w:t>
      </w:r>
    </w:p>
    <w:p>
      <w:pPr>
        <w:pStyle w:val="kar_markup_metadata"/>
      </w:pPr>
      <w:r>
        <w:t xml:space="preserve">RELATES TO: </w:t>
      </w:r>
      <w:r>
        <w:t xml:space="preserve">KRS 319C.070, 319C.080(1), (2)</w:t>
      </w:r>
    </w:p>
    <w:p>
      <w:pPr>
        <w:pStyle w:val="kar_markup_metadata"/>
      </w:pPr>
      <w:r>
        <w:t xml:space="preserve">STATUTORY AUTHORITY: </w:t>
      </w:r>
      <w:r>
        <w:t xml:space="preserve">KRS 319C.060(2)(a)</w:t>
      </w:r>
    </w:p>
    <w:p>
      <w:pPr>
        <w:pStyle w:val="kar_markup_metadata"/>
      </w:pPr>
      <w:r>
        <w:t xml:space="preserve">NECESSITY, FUNCTION, AND CONFORMITY: </w:t>
      </w:r>
      <w:r>
        <w:t xml:space="preserve">KRS 319C.060(2)(a) requires the board to promulgate administrative regulations establishing the requirements for an applicant for licensure as a behavior analyst or assistant behavior analyst. This administrative regulation establishes the requirements for applicants for licensure.</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An Application for Licensure as a behavior analyst shall be submitted after the requirements established in KRS 319C.080(1) are met.</w:t>
      </w:r>
    </w:p>
    <w:p>
      <w:pPr>
        <w:pStyle w:val="kar_subsection"/>
      </w:pPr>
      <w:r>
        <w:t xml:space="preserve">(2)</w:t>
      </w:r>
      <w:r>
        <w:t xml:space="preserve"> </w:t>
      </w:r>
      <w:r>
        <w:t xml:space="preserve">An Application for Licensure as an assistant behavior analyst shall be submitted after the requirements established in KRS 319C.080(2) are met.</w:t>
      </w:r>
    </w:p>
    <w:p>
      <w:pPr>
        <w:pStyle w:val="kar_subsection"/>
      </w:pPr>
      <w:r>
        <w:t xml:space="preserve">(3)</w:t>
      </w:r>
      <w:r>
        <w:t xml:space="preserve"> </w:t>
      </w:r>
      <w:r>
        <w:t xml:space="preserve">The application required by subsections (1) and (2) of this section shall be made by submitting a completed Form ABA-001, Application for Licensure, to the board. The application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his or her knowledge and belief; and</w:t>
      </w:r>
    </w:p>
    <w:p>
      <w:pPr>
        <w:pStyle w:val="kar_subparagraph"/>
      </w:pPr>
      <w:r>
        <w:t xml:space="preserve">2.</w:t>
      </w:r>
      <w:r>
        <w:t xml:space="preserve"> </w:t>
      </w:r>
      <w:r>
        <w:t xml:space="preserve">Applicant is aware that a misrepresentation or falsification in the application is grounds for denial or revocation of the license at any time; </w:t>
      </w:r>
    </w:p>
    <w:p>
      <w:pPr>
        <w:pStyle w:val="kar_paragraph"/>
      </w:pPr>
      <w:r>
        <w:t xml:space="preserve">(b)</w:t>
      </w:r>
      <w:r>
        <w:t xml:space="preserve"> </w:t>
      </w:r>
      <w:r>
        <w:t xml:space="preserve">A copy of the degree obtained;</w:t>
      </w:r>
    </w:p>
    <w:p>
      <w:pPr>
        <w:pStyle w:val="kar_paragraph"/>
      </w:pPr>
      <w:r>
        <w:t xml:space="preserve">(c)</w:t>
      </w:r>
      <w:r>
        <w:t xml:space="preserve"> </w:t>
      </w:r>
      <w:r>
        <w:t xml:space="preserve">A check or money order payable to the Kentucky State Treasurer for the application review and licensure fee as required by 201 KAR 43:030;</w:t>
      </w:r>
    </w:p>
    <w:p>
      <w:pPr>
        <w:pStyle w:val="kar_paragraph"/>
      </w:pPr>
      <w:r>
        <w:t xml:space="preserve">(d)</w:t>
      </w:r>
      <w:r>
        <w:t xml:space="preserve"> </w:t>
      </w:r>
      <w:r>
        <w:t xml:space="preserve">Proof of compliance with the educational, examination, and credentialing requirements established in KRS 319C.080(1) for applicants seeking licensure as a behavior analyst and KRS 319C.080(2) for applicants seeking licensure as an assistant behavior analyst; and</w:t>
      </w:r>
    </w:p>
    <w:p>
      <w:pPr>
        <w:pStyle w:val="kar_paragraph"/>
      </w:pPr>
      <w:r>
        <w:t xml:space="preserve">(e)</w:t>
      </w:r>
      <w:r>
        <w:t xml:space="preserve"> </w:t>
      </w:r>
      <w:r>
        <w:t xml:space="preserve">Proof of completion of at least five (5) hours of training in:</w:t>
      </w:r>
    </w:p>
    <w:p>
      <w:pPr>
        <w:pStyle w:val="kar_subparagraph"/>
      </w:pPr>
      <w:r>
        <w:t xml:space="preserve">1.</w:t>
      </w:r>
      <w:r>
        <w:t xml:space="preserve"> </w:t>
      </w:r>
      <w:r>
        <w:t xml:space="preserve">Adult abuse and neglect;</w:t>
      </w:r>
    </w:p>
    <w:p>
      <w:pPr>
        <w:pStyle w:val="kar_subparagraph"/>
      </w:pPr>
      <w:r>
        <w:t xml:space="preserve">2.</w:t>
      </w:r>
      <w:r>
        <w:t xml:space="preserve"> </w:t>
      </w:r>
      <w:r>
        <w:t xml:space="preserve">Child abuse, neglect, and dependency; or</w:t>
      </w:r>
    </w:p>
    <w:p>
      <w:pPr>
        <w:pStyle w:val="kar_subparagraph"/>
      </w:pPr>
      <w:r>
        <w:t xml:space="preserve">3.</w:t>
      </w:r>
      <w:r>
        <w:t xml:space="preserve"> </w:t>
      </w:r>
      <w:r>
        <w:t xml:space="preserve">A combination of subparagraphs 1. and 2. of this paragraph. The completed proof shall indicate that abuse, neglect, or dependency was explicitly covered in the training.</w:t>
      </w:r>
    </w:p>
    <w:p>
      <w:pPr>
        <w:pStyle w:val="kar_subsection"/>
      </w:pPr>
      <w:r>
        <w:t xml:space="preserve">(4)</w:t>
      </w:r>
      <w:r>
        <w:t xml:space="preserve"> </w:t>
      </w:r>
      <w:r>
        <w:t xml:space="preserve">Applicants for licensure as an assistant behavior analyst shall also submit a completed Supervisory Plan, Form ABA-002, as incorporated by reference in 201 KAR 43:050, for board approval.</w:t>
      </w:r>
    </w:p>
    <w:p>
      <w:pPr>
        <w:pStyle w:val="kar_subsection"/>
      </w:pPr>
      <w:r>
        <w:t xml:space="preserve">(5)</w:t>
      </w:r>
      <w:r>
        <w:t xml:space="preserve"> </w:t>
      </w:r>
      <w:r>
        <w:t xml:space="preserve">A licensed assistant behavior analyst may apply for licensure as a licensed behavior analyst at any time within the two (2) year licensure period after meeting the requirements established in this administrative regulation. A final Report of Supervision, Form ABA-003, as incorporated by reference in 201 KAR 43:050, shall also be submitted for board approval.</w:t>
      </w:r>
    </w:p>
    <w:p>
      <w:pPr>
        <w:pStyle w:val="kar_section"/>
      </w:pPr>
      <w:r>
        <w:t xml:space="preserve">Section 2.</w:t>
      </w:r>
      <w:r>
        <w:t xml:space="preserve"> </w:t>
      </w:r>
      <w:r>
        <w:t xml:space="preserve">Applications Committee. The applications committee shall consist of at least two (2) board members appointed by the chair of the board. The applications committee may be assisted by the board staff and counsel to the board. The applications committee shall:</w:t>
      </w:r>
    </w:p>
    <w:p>
      <w:pPr>
        <w:pStyle w:val="kar_subsection"/>
      </w:pPr>
      <w:r>
        <w:t xml:space="preserve">(1)</w:t>
      </w:r>
      <w:r>
        <w:t xml:space="preserve"> </w:t>
      </w:r>
      <w:r>
        <w:t xml:space="preserve">Review applications for licensure including renewals and reinstatements;</w:t>
      </w:r>
    </w:p>
    <w:p>
      <w:pPr>
        <w:pStyle w:val="kar_subsection"/>
      </w:pPr>
      <w:r>
        <w:t xml:space="preserve">(2)</w:t>
      </w:r>
      <w:r>
        <w:t xml:space="preserve"> </w:t>
      </w:r>
      <w:r>
        <w:t xml:space="preserve">Review Supervisory Plans and Reports of Supervision;</w:t>
      </w:r>
    </w:p>
    <w:p>
      <w:pPr>
        <w:pStyle w:val="kar_subsection"/>
      </w:pPr>
      <w:r>
        <w:t xml:space="preserve">(3)</w:t>
      </w:r>
      <w:r>
        <w:t xml:space="preserve"> </w:t>
      </w:r>
      <w:r>
        <w:t xml:space="preserve">Make recommendations to the board to approve, defer, or deny applications; and</w:t>
      </w:r>
    </w:p>
    <w:p>
      <w:pPr>
        <w:pStyle w:val="kar_subsection"/>
      </w:pPr>
      <w:r>
        <w:t xml:space="preserve">(4)</w:t>
      </w:r>
      <w:r>
        <w:t xml:space="preserve"> </w:t>
      </w:r>
      <w:r>
        <w:t xml:space="preserve">Make recommendations to the board to approve or require revisions to Supervisory Plans and Reports of Supervision.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ABA-001, "Application for Licensure", May 2022,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2SC32, Frankfort, Kentucky 40601, Monday through Friday, 8 a.m. to 4:30 p.m. This material is also available on the board's Web site at aba.ky.gov.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3031; 38 Ky.R. 899; eff. 12-2-2011; 40 Ky.R. 122; 541; eff. 10-4-2013; 42 Ky.R. 847; 1481; eff. 12-4-2015; 48 Ky.R. 1894; 49 Ky.R. 22;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9615764fd0461f" /><Relationship Type="http://schemas.openxmlformats.org/officeDocument/2006/relationships/settings" Target="/word/settings.xml" Id="R404b393dcf0140e0" /></Relationships>
</file>