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37ec9f24e047b7" /></Relationships>
</file>

<file path=word/document.xml><?xml version="1.0" encoding="utf-8"?>
<w:document xmlns:w="http://schemas.openxmlformats.org/wordprocessingml/2006/main">
  <w:body>
    <w:p>
      <w:pPr>
        <w:pStyle w:val="kar_citation"/>
      </w:pPr>
      <w:r>
        <w:t>105 KAR 1:370.</w:t>
      </w:r>
      <w:r>
        <w:t xml:space="preserve"> </w:t>
      </w:r>
      <w:r>
        <w:t xml:space="preserve">Kentucky Retirement Systems Personnel Policies.</w:t>
      </w:r>
    </w:p>
    <w:p>
      <w:pPr>
        <w:pStyle w:val="kar_markup_metadata"/>
      </w:pPr>
      <w:r>
        <w:t xml:space="preserve">RELATES TO: </w:t>
      </w:r>
      <w:r>
        <w:t xml:space="preserve">KRS Chapter 11A, 16.505 - 16.652, 18A.095, 61.394, 61.510 - 61.705, 78.510, 164.357, Chapter 218A, 335B.010(4), 335B.020, Chapter 342, 344.030, 344.040, 29 C.F.R. 825, 21 U.S.C. 812</w:t>
      </w:r>
    </w:p>
    <w:p>
      <w:pPr>
        <w:pStyle w:val="kar_markup_metadata"/>
      </w:pPr>
      <w:r>
        <w:t xml:space="preserve">STATUTORY AUTHORITY: </w:t>
      </w:r>
      <w:r>
        <w:t xml:space="preserve">KRS 61.645(9)(c), (d), (g)</w:t>
      </w:r>
    </w:p>
    <w:p>
      <w:pPr>
        <w:pStyle w:val="kar_markup_metadata"/>
      </w:pPr>
      <w:r>
        <w:t xml:space="preserve">NECESSITY, FUNCTION, AND CONFORMITY: </w:t>
      </w:r>
      <w:r>
        <w:t xml:space="preserve">KRS 61.645(9)(g) requires the Board of Trustees of Kentucky Retirement Systems to promulgate all administrative regulations necessary or proper in order to carry out the provisions of KRS 16.505 to 16.652, 61.510 to 61.705, and 78.510 to 78.852. KRS 61.645(9)(c) provides that, effective December 1, 2002, all employees of the Kentucky Retirement Systems shall be transferred to a personnel system adopted by the board of trustees. KRS 61.645(9)(d) requires the board of trustees to promulgate administrative regulations to establish a fair, equitable, and comprehensive personnel policy. This administrative regulation establishes the Kentucky Retirement Systems Personnel Policies.</w:t>
      </w:r>
    </w:p>
    <w:p>
      <w:pPr>
        <w:pStyle w:val="kar_section"/>
      </w:pPr>
      <w:r>
        <w:t xml:space="preserve">Section 1.</w:t>
      </w:r>
      <w:r>
        <w:t xml:space="preserve"> </w:t>
      </w:r>
      <w:r>
        <w:t xml:space="preserve">An employee of the Kentucky Retirement Systems shall comply with the Kentucky Retirement Systems Personnel Policies.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Retirement Systems Personnel Policies", as amended December 3, 2015 is incorporated by reference.</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2567; Am. 2865; eff. 6-16-2003; 31 Ky.R. 1194; eff. 3-3-2005; 33 Ky.R. 1881; 2933; eff. 4-6-2007; 35 Ky.R. 128; Am. 544; eff. 10-3-2008; 35 Ky.R. 128; 544; 1850; 2212; eff. 5-1-2009; 37 Ky.R. 99; 683; eff. 10-1-2010; 42 Ky.R. 2412; eff. 5-6-2016; Repealed by 105 KAR 001:371, 5-2-2023.)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b1b394dbd847bf" /><Relationship Type="http://schemas.openxmlformats.org/officeDocument/2006/relationships/settings" Target="/word/settings.xml" Id="R749c4167e3904f98" /></Relationships>
</file>