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1e456b0097472d" /></Relationships>
</file>

<file path=word/document.xml><?xml version="1.0" encoding="utf-8"?>
<w:document xmlns:w="http://schemas.openxmlformats.org/wordprocessingml/2006/main">
  <w:body>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216B.020, 216B.040, 216B.062, 216B.090, 216B.095, 216B.115, 216B.455, 216B.990, 311A.025(4)</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216B.095(3)(f),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 </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 xml:space="preserve">Prior to July 1, 2026, 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health care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two (2) most recent updates to the overall star ratings  preceding the date the application was filed; or</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under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set out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(https://kbems.kctcs.edu/legal/EMS%20Directory.aspx);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216B.020(12)(a), the provisions of this section and Section 2(3)(e) of this administrative regulation shall expire on July 1, 2026.</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In accordance with KRS 216B.020(12)(b), a certificate of need exemption granted to an ambulance service under this section of this administrative regulation shall remain in effect on and after July 1, 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3bd9f9f97d4e55" /><Relationship Type="http://schemas.openxmlformats.org/officeDocument/2006/relationships/settings" Target="/word/settings.xml" Id="R0c563f82f9f44261" /></Relationships>
</file>