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8a2b7ac0154023" /></Relationships>
</file>

<file path=word/document.xml><?xml version="1.0" encoding="utf-8"?>
<w:document xmlns:w="http://schemas.openxmlformats.org/wordprocessingml/2006/main">
  <w:body>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and theInfusion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 Home Infusion", Second Edition, 2021; and</w:t>
      </w:r>
    </w:p>
    <w:p>
      <w:pPr>
        <w:pStyle w:val="kar_paragraph"/>
      </w:pPr>
      <w:r>
        <w:t xml:space="preserve">(b)</w:t>
      </w:r>
      <w:r>
        <w:t xml:space="preserve"> </w:t>
      </w:r>
      <w:r>
        <w:t xml:space="preserve">"Infusion Therapy: Standards of Practice", Eighth Edition,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 Links to this material is also available on the board's Web site at https://kbn.ky.gov/.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98170b0d3f4ebb" /><Relationship Type="http://schemas.openxmlformats.org/officeDocument/2006/relationships/settings" Target="/word/settings.xml" Id="Rd24cecd0108444de" /></Relationships>
</file>