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e0715ba928408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(Amendment)</w:t>
      </w:r>
    </w:p>
    <w:p>
      <w:pPr>
        <w:pStyle w:val="kar_citation"/>
      </w:pPr>
      <w:r>
        <w:t>201 KAR 12:190.</w:t>
      </w:r>
      <w:r>
        <w:t xml:space="preserve"> </w:t>
      </w:r>
      <w:r>
        <w:t xml:space="preserve">Complaint and disciplinary process.</w:t>
      </w:r>
    </w:p>
    <w:p>
      <w:pPr>
        <w:pStyle w:val="kar_markup_metadata"/>
      </w:pPr>
      <w:r>
        <w:t xml:space="preserve">RELATES TO: </w:t>
      </w:r>
      <w:r>
        <w:t xml:space="preserve">KRS 317A.070, 317A.140, 317A.145</w:t>
      </w:r>
    </w:p>
    <w:p>
      <w:pPr>
        <w:pStyle w:val="kar_markup_metadata"/>
      </w:pPr>
      <w:r>
        <w:t xml:space="preserve">STATUTORY AUTHORITY: </w:t>
      </w:r>
      <w:r>
        <w:t xml:space="preserve">KRS 317A.060, 317A.145</w:t>
      </w:r>
    </w:p>
    <w:p>
      <w:pPr>
        <w:pStyle w:val="kar_markup_metadata"/>
      </w:pPr>
      <w:r>
        <w:t xml:space="preserve">NECESSITY, FUNCTION, AND CONFORMITY: </w:t>
      </w:r>
      <w:r>
        <w:t xml:space="preserve">KRS 317A.145 authorizes the board to investigate complaints and, where appropriate, take disciplinary action for violations of KRS Chapter 317A and the administrative regulations promulgated by the board. KRS 317A.070 requires the board to hold hearings to review the board's decision upon the request of any licensee or applicant affected by the board's decision to refuse to issue or renew a license or permit, or to take disciplinary action against a license or permit. This administrative regulation establishes the board's complaint and disciplinary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means any writing received </w:t>
      </w:r>
      <w:r>
        <w:rPr>
          <w:u w:val="single"/>
        </w:rPr>
        <w:t xml:space="preserve">or initiated </w:t>
      </w:r>
      <w:r>
        <w:t xml:space="preserve">by the board alleging conduct by an individual or entity that may constitute a violation of KRS Chapter 317A or 201 KAR Chapter 12.</w:t>
      </w:r>
    </w:p>
    <w:p>
      <w:pPr>
        <w:pStyle w:val="kar_subsection"/>
      </w:pPr>
      <w:r>
        <w:t xml:space="preserve">(2)</w:t>
      </w:r>
      <w:r>
        <w:t xml:space="preserve"> </w:t>
      </w:r>
      <w:r>
        <w:t xml:space="preserve">"Respondent" means the person or entity against whom a complaint has been made.</w:t>
      </w:r>
    </w:p>
    <w:p>
      <w:pPr>
        <w:pStyle w:val="kar_section"/>
      </w:pPr>
      <w:r>
        <w:t xml:space="preserve">Section 2.</w:t>
      </w:r>
      <w:r>
        <w:t xml:space="preserve"> </w:t>
      </w:r>
      <w:r>
        <w:t xml:space="preserve">Complaint Committee. The board may appoint a committee of no more than two (2) board members to review complaints, initiate investigations, participate in informal proceedings to resolve complaints, and make recommendations to the board for disposition of complaints. The board staff and board counsel may assist the committee.</w:t>
      </w:r>
    </w:p>
    <w:p>
      <w:pPr>
        <w:pStyle w:val="kar_section"/>
      </w:pPr>
      <w:r>
        <w:t xml:space="preserve">Section 3.</w:t>
      </w:r>
      <w:r>
        <w:t xml:space="preserve"> </w:t>
      </w:r>
      <w:r>
        <w:t xml:space="preserve">Complaint Procedures.</w:t>
      </w:r>
    </w:p>
    <w:p>
      <w:pPr>
        <w:pStyle w:val="kar_subsection"/>
      </w:pPr>
      <w:r>
        <w:t xml:space="preserve">(1)</w:t>
      </w:r>
      <w:r>
        <w:t xml:space="preserve"> </w:t>
      </w:r>
      <w:r>
        <w:t xml:space="preserve">Complaints shall be submitted on the board's Complaint Form, signed by the person making the complaint, and describe with sufficient detail the alleged violation(s) of KRS Chapter 317A, or 201 KAR Chapter 12. The Complaint Form shall be made available on the board's Web site at http://kbc.ky.gov.</w:t>
      </w:r>
    </w:p>
    <w:p>
      <w:pPr>
        <w:pStyle w:val="kar_subsection"/>
      </w:pPr>
      <w:r>
        <w:t xml:space="preserve">(2)</w:t>
      </w:r>
      <w:r>
        <w:t xml:space="preserve"> </w:t>
      </w:r>
      <w:r>
        <w:t xml:space="preserve">A copy of the complaint shall be provided to the respondent. The respondent shall have ten (10) days from the date of receipt to submit a written response. The complaints committee or the </w:t>
      </w:r>
      <w:r>
        <w:rPr>
          <w:u w:val="single"/>
        </w:rPr>
        <w:t xml:space="preserve">executive director</w:t>
      </w:r>
      <w:r>
        <w:t>[</w:t>
      </w:r>
      <w:r>
        <w:rPr>
          <w:strike w:val="true"/>
        </w:rPr>
        <w:t xml:space="preserve">board administrator</w:t>
      </w:r>
      <w:r>
        <w:t>]</w:t>
      </w:r>
      <w:r>
        <w:t xml:space="preserve"> may extend these timelines as appropriate.</w:t>
      </w:r>
    </w:p>
    <w:p>
      <w:pPr>
        <w:pStyle w:val="kar_subsection"/>
      </w:pPr>
      <w:r>
        <w:t xml:space="preserve">(3)</w:t>
      </w:r>
      <w:r>
        <w:t xml:space="preserve"> </w:t>
      </w:r>
      <w:r>
        <w:t xml:space="preserve">The complaint committee shall meet </w:t>
      </w:r>
      <w:r>
        <w:rPr>
          <w:u w:val="single"/>
        </w:rPr>
        <w:t xml:space="preserve">at regular intervals</w:t>
      </w:r>
      <w:r>
        <w:t>[</w:t>
      </w:r>
      <w:r>
        <w:rPr>
          <w:strike w:val="true"/>
        </w:rPr>
        <w:t xml:space="preserve">once a month</w:t>
      </w:r>
      <w:r>
        <w:t>]</w:t>
      </w:r>
      <w:r>
        <w:t xml:space="preserve">. A complaint </w:t>
      </w:r>
      <w:r>
        <w:rPr>
          <w:u w:val="single"/>
        </w:rPr>
        <w:t xml:space="preserve">and any written response </w:t>
      </w:r>
      <w:r>
        <w:t xml:space="preserve">shall arrive ten (10) days prior to the meeting to meet </w:t>
      </w:r>
      <w:r>
        <w:rPr>
          <w:u w:val="single"/>
        </w:rPr>
        <w:t xml:space="preserve">the</w:t>
      </w:r>
      <w:r>
        <w:t>[</w:t>
      </w:r>
      <w:r>
        <w:rPr>
          <w:strike w:val="true"/>
        </w:rPr>
        <w:t xml:space="preserve">that month's</w:t>
      </w:r>
      <w:r>
        <w:t>]</w:t>
      </w:r>
      <w:r>
        <w:t xml:space="preserve"> deadline for making a recommendation to the board. The complaint committee shall review the complaint, the response, and any other relevant information or material available, and recommend that the board:</w:t>
      </w:r>
    </w:p>
    <w:p>
      <w:pPr>
        <w:pStyle w:val="kar_paragraph"/>
      </w:pPr>
      <w:r>
        <w:t xml:space="preserve">(a)</w:t>
      </w:r>
      <w:r>
        <w:t xml:space="preserve"> </w:t>
      </w:r>
      <w:r>
        <w:t xml:space="preserve">Dismiss the complaint;</w:t>
      </w:r>
    </w:p>
    <w:p>
      <w:pPr>
        <w:pStyle w:val="kar_paragraph"/>
      </w:pPr>
      <w:r>
        <w:t xml:space="preserve">(b)</w:t>
      </w:r>
      <w:r>
        <w:t xml:space="preserve"> </w:t>
      </w:r>
      <w:r>
        <w:t xml:space="preserve">Order further investigation;</w:t>
      </w:r>
    </w:p>
    <w:p>
      <w:pPr>
        <w:pStyle w:val="kar_paragraph"/>
      </w:pPr>
      <w:r>
        <w:t xml:space="preserve">(c)</w:t>
      </w:r>
      <w:r>
        <w:t xml:space="preserve"> </w:t>
      </w:r>
      <w:r>
        <w:t xml:space="preserve">Issue a written admonishment for a minor violation; or</w:t>
      </w:r>
    </w:p>
    <w:p>
      <w:pPr>
        <w:pStyle w:val="kar_paragraph"/>
      </w:pPr>
      <w:r>
        <w:t xml:space="preserve">(d)</w:t>
      </w:r>
      <w:r>
        <w:t xml:space="preserve"> </w:t>
      </w:r>
      <w:r>
        <w:t xml:space="preserve">Issue a notice of disciplinary action informing the respondent of the following:</w:t>
      </w:r>
    </w:p>
    <w:p>
      <w:pPr>
        <w:pStyle w:val="kar_subparagraph"/>
      </w:pPr>
      <w:r>
        <w:t xml:space="preserve">1.</w:t>
      </w:r>
      <w:r>
        <w:t xml:space="preserve"> </w:t>
      </w:r>
      <w:r>
        <w:t xml:space="preserve">The statute(s) or administrative regulation(s) violated;</w:t>
      </w:r>
    </w:p>
    <w:p>
      <w:pPr>
        <w:pStyle w:val="kar_subparagraph"/>
      </w:pPr>
      <w:r>
        <w:t xml:space="preserve">2.</w:t>
      </w:r>
      <w:r>
        <w:t xml:space="preserve"> </w:t>
      </w:r>
      <w:r>
        <w:t xml:space="preserve">The factual basis for the disciplinary action;</w:t>
      </w:r>
    </w:p>
    <w:p>
      <w:pPr>
        <w:pStyle w:val="kar_subparagraph"/>
      </w:pPr>
      <w:r>
        <w:t xml:space="preserve">3.</w:t>
      </w:r>
      <w:r>
        <w:t xml:space="preserve"> </w:t>
      </w:r>
      <w:r>
        <w:t xml:space="preserve">The penalty to be imposed; and</w:t>
      </w:r>
    </w:p>
    <w:p>
      <w:pPr>
        <w:pStyle w:val="kar_subparagraph"/>
      </w:pPr>
      <w:r>
        <w:t xml:space="preserve">4.</w:t>
      </w:r>
      <w:r>
        <w:t xml:space="preserve"> </w:t>
      </w:r>
      <w:r>
        <w:t xml:space="preserve">The licensee's or permittee's right to request a hearing.</w:t>
      </w:r>
    </w:p>
    <w:p>
      <w:pPr>
        <w:pStyle w:val="kar_subsection"/>
      </w:pPr>
      <w:r>
        <w:t xml:space="preserve">(4)</w:t>
      </w:r>
      <w:r>
        <w:t xml:space="preserve"> </w:t>
      </w:r>
      <w:r>
        <w:t xml:space="preserve">A written admonishment shall not be considered disciplinary action by the board, but may be considered in any subsequent disciplinary action against the licensee or permittee. A copy of the written admonishment shall be placed in the licensee or permittee's file at the board office.</w:t>
      </w:r>
    </w:p>
    <w:p>
      <w:pPr>
        <w:pStyle w:val="kar_subsection"/>
      </w:pPr>
      <w:r>
        <w:t xml:space="preserve">(5)</w:t>
      </w:r>
      <w:r>
        <w:t xml:space="preserve"> </w:t>
      </w:r>
      <w:r>
        <w:t xml:space="preserve">If the board determines that a person or entity is engaged in the unlicensed practice of cosmetology, esthetics practices, or nail technology, the board may:</w:t>
      </w:r>
    </w:p>
    <w:p>
      <w:pPr>
        <w:pStyle w:val="kar_paragraph"/>
      </w:pPr>
      <w:r>
        <w:t xml:space="preserve">(a)</w:t>
      </w:r>
      <w:r>
        <w:t xml:space="preserve"> </w:t>
      </w:r>
      <w:r>
        <w:t xml:space="preserve">Issue to the person or entity a written request to voluntarily cease the unlicensed activity; or</w:t>
      </w:r>
    </w:p>
    <w:p>
      <w:pPr>
        <w:pStyle w:val="kar_paragraph"/>
      </w:pPr>
      <w:r>
        <w:t xml:space="preserve">(b)</w:t>
      </w:r>
      <w:r>
        <w:t xml:space="preserve"> </w:t>
      </w:r>
      <w:r>
        <w:t xml:space="preserve">Seek injunctive relief in a court of competent jurisdiction pursuant to KRS 317A.020(7).</w:t>
      </w:r>
    </w:p>
    <w:p>
      <w:pPr>
        <w:pStyle w:val="kar_subsection"/>
      </w:pPr>
      <w:r>
        <w:t xml:space="preserve">(6)</w:t>
      </w:r>
      <w:r>
        <w:t xml:space="preserve"> </w:t>
      </w:r>
      <w:r>
        <w:t xml:space="preserve">Any board member who has participated in the investigation of a complaint or who has substantial personal knowledge of facts concerning the complaint, which could influence an impartial decision, shall disqualify himself or herself from participating in the adjudication of the complaint.</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its complaints committee or counsel, may, at any time during this process, resolve the matter through informal means, including an agreed order of settlement or mediation.</w:t>
      </w:r>
    </w:p>
    <w:p>
      <w:pPr>
        <w:pStyle w:val="kar_subsection"/>
      </w:pPr>
      <w:r>
        <w:t xml:space="preserve">(2)</w:t>
      </w:r>
      <w:r>
        <w:t xml:space="preserve"> </w:t>
      </w:r>
      <w:r>
        <w:t xml:space="preserve">An agreed order or settlement reached through this process shall be approved by the board and signed by the respondent and board chair, or the chair's designee.</w:t>
      </w:r>
    </w:p>
    <w:p>
      <w:pPr>
        <w:pStyle w:val="kar_section"/>
      </w:pPr>
      <w:r>
        <w:t xml:space="preserve">Section 5.</w:t>
      </w:r>
      <w:r>
        <w:t xml:space="preserve"> </w:t>
      </w:r>
      <w:r>
        <w:t xml:space="preserve">Hearings.</w:t>
      </w:r>
    </w:p>
    <w:p>
      <w:pPr>
        <w:pStyle w:val="kar_subsection"/>
      </w:pPr>
      <w:r>
        <w:t xml:space="preserve">(1)</w:t>
      </w:r>
      <w:r>
        <w:t xml:space="preserve"> </w:t>
      </w:r>
      <w:r>
        <w:t xml:space="preserve">A written request made by the respondent for a hearing shall be filed with the board within thirty (30) days of the date of the board's notice that it intends to refuse to issue or renew a license or permit, to deny, suspend, probate, or revoke a license or permit, or to impose </w:t>
      </w:r>
      <w:r>
        <w:rPr>
          <w:u w:val="single"/>
        </w:rPr>
        <w:t xml:space="preserve">discipline</w:t>
      </w:r>
      <w:r>
        <w:t>[</w:t>
      </w:r>
      <w:r>
        <w:rPr>
          <w:strike w:val="true"/>
        </w:rPr>
        <w:t xml:space="preserve">a fine</w:t>
      </w:r>
      <w:r>
        <w:t>]</w:t>
      </w:r>
      <w:r>
        <w:t xml:space="preserve"> on a licensee or permittee.</w:t>
      </w:r>
    </w:p>
    <w:p>
      <w:pPr>
        <w:pStyle w:val="kar_subsection"/>
      </w:pPr>
      <w:r>
        <w:t xml:space="preserve">(2)</w:t>
      </w:r>
      <w:r>
        <w:t xml:space="preserve"> </w:t>
      </w:r>
      <w:r>
        <w:t xml:space="preserve">If no request for a hearing is filed, the board's refusal to issue or renew a license or permit, or the board's notice of disciplinary action, shall become effective upon the expiration of the time to request a hearing.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"Complaint Form", </w:t>
      </w:r>
      <w:r>
        <w:rPr>
          <w:u w:val="single"/>
        </w:rPr>
        <w:t xml:space="preserve">July 2022</w:t>
      </w:r>
      <w:r>
        <w:t>[</w:t>
      </w:r>
      <w:r>
        <w:rPr>
          <w:strike w:val="true"/>
        </w:rPr>
        <w:t xml:space="preserve">April 2018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Kentucky Board of Cosmetology, </w:t>
      </w:r>
      <w:r>
        <w:rPr>
          <w:u w:val="single"/>
        </w:rPr>
        <w:t xml:space="preserve">1049 US Hwy 127 S. Annex #2,</w:t>
      </w:r>
      <w:r>
        <w:t>[</w:t>
      </w:r>
      <w:r>
        <w:rPr>
          <w:strike w:val="true"/>
        </w:rPr>
        <w:t xml:space="preserve">111 St. James Court, Suite A,</w:t>
      </w:r>
      <w:r>
        <w:t>]</w:t>
      </w:r>
      <w:r>
        <w:t xml:space="preserve"> Frankfort Kentucky 40601, Monday through Friday, 8 a.m. to 4:30 p.m.</w:t>
      </w:r>
    </w:p>
    <w:p>
      <w:pPr>
        <w:pStyle w:val="kar_signature"/>
      </w:pPr>
      <w:r>
        <w:t xml:space="preserve">MARGARET MEREDITH, Board Chair</w:t>
      </w:r>
    </w:p>
    <w:p>
      <w:pPr>
        <w:pStyle w:val="kar_normal"/>
      </w:pPr>
      <w:r>
        <w:t xml:space="preserve"/>
      </w:r>
    </w:p>
    <w:p>
      <w:pPr>
        <w:pStyle w:val="kar_approved_by"/>
      </w:pPr>
      <w:r>
        <w:t xml:space="preserve">APPROVED BY AGENCY: July 12, 2022</w:t>
      </w:r>
    </w:p>
    <w:p>
      <w:pPr>
        <w:pStyle w:val="kar_filed"/>
      </w:pPr>
      <w:r>
        <w:t xml:space="preserve">FILED WITH LRC: July 12, 2022 at 2:40 p.m.</w:t>
      </w:r>
    </w:p>
    <w:p>
      <w:pPr>
        <w:pStyle w:val="kar_normal"/>
      </w:pPr>
      <w:r>
        <w:t xml:space="preserve"/>
      </w:r>
    </w:p>
    <w:p>
      <w:pPr>
        <w:pStyle w:val="kar_comment_period"/>
      </w:pPr>
      <w:r>
        <w:t xml:space="preserve">PUBLIC HEARING AND PUBLIC COMMENT PERIOD: A public hearing on this administrative regulation shall be held on September 21, 2022, at 11:30 am, at the Kentucky Board of Cosmetology office.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Julie M. Campbell, Executive Director, 1049 US Hwy 127 S. Annex #2, Frankfort, Kentucky 40601, (502) 564-4262, email julie.campbell@ky.gov.</w:t>
      </w:r>
    </w:p>
    <w:p>
      <w:pPr>
        <w:pStyle w:val="kar_form_name"/>
      </w:pPr>
      <w:r>
        <w:t xml:space="preserve">REGULATORY IMPACT ANALYSIS AND TIERING STATEMENT</w:t>
      </w:r>
    </w:p>
    <w:p>
      <w:pPr>
        <w:pStyle w:val="kar_normal"/>
        <w:ind w:left="0"/>
      </w:pPr>
      <w:r>
        <w:t xml:space="preserve">Contact Person:</w:t>
      </w:r>
      <w:r>
        <w:t xml:space="preserve"> Julie M. Campbell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complaint and investigations process.</w:t>
      </w:r>
    </w:p>
    <w:p>
      <w:pPr>
        <w:pStyle w:val="kar_normal"/>
        <w:ind w:left="576"/>
      </w:pPr>
      <w:r>
        <w:t xml:space="preserve">(b) The necessity of this administrative regulation:</w:t>
      </w:r>
    </w:p>
    <w:p>
      <w:pPr>
        <w:pStyle w:val="kar_normal"/>
        <w:ind w:left="720"/>
      </w:pPr>
      <w:r>
        <w:t xml:space="preserve">This administrative regulation is necessary to provide the needed investigation and complaint process to be followed.</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being drafted to clarify complaints and investigation processes as set forth in Chapter 13 of KRS.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outlines the details of the complaint form and process for concerns with licensees.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clarify complaint processes and investigation details</w:t>
      </w:r>
    </w:p>
    <w:p>
      <w:pPr>
        <w:pStyle w:val="kar_normal"/>
        <w:ind w:left="576"/>
      </w:pPr>
      <w:r>
        <w:t xml:space="preserve">(b) The necessity of the amendment to this administrative regulation:</w:t>
      </w:r>
    </w:p>
    <w:p>
      <w:pPr>
        <w:pStyle w:val="kar_normal"/>
        <w:ind w:left="720"/>
      </w:pPr>
      <w:r>
        <w:t xml:space="preserve">This amendment is necessary to clarify details and compliance standards as required in KRS 317A for complaint processes.</w:t>
      </w:r>
    </w:p>
    <w:p>
      <w:pPr>
        <w:pStyle w:val="kar_normal"/>
        <w:ind w:left="576"/>
      </w:pPr>
      <w:r>
        <w:t xml:space="preserve">(c) How the amendment conforms to the content of the authorizing statutes:</w:t>
      </w:r>
    </w:p>
    <w:p>
      <w:pPr>
        <w:pStyle w:val="kar_normal"/>
        <w:ind w:left="720"/>
      </w:pPr>
      <w:r>
        <w:t xml:space="preserve">This regulation provides guidelines for complaint details as required in current statutory requirements in KRS 317A.</w:t>
      </w:r>
    </w:p>
    <w:p>
      <w:pPr>
        <w:pStyle w:val="kar_normal"/>
        <w:ind w:left="576"/>
      </w:pPr>
      <w:r>
        <w:t xml:space="preserve">(d) How the amendment will assist in the effective administration of the statutes:</w:t>
      </w:r>
    </w:p>
    <w:p>
      <w:pPr>
        <w:pStyle w:val="kar_normal"/>
        <w:ind w:left="720"/>
      </w:pPr>
      <w:r>
        <w:t xml:space="preserve">This amendment will specify clearer details on complaint compliance to promote continuity across board changes.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will be no impact to licensees, businesses, organizations, or state or local governments.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does not impose any requirements on regulated entities.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anticipated cost to licensees because of this amendment.</w:t>
      </w:r>
    </w:p>
    <w:p>
      <w:pPr>
        <w:pStyle w:val="kar_normal"/>
        <w:ind w:left="576"/>
      </w:pPr>
      <w:r>
        <w:t xml:space="preserve">(c) As a result of compliance, what benefits will accrue to the entities identified in question (3):</w:t>
      </w:r>
    </w:p>
    <w:p>
      <w:pPr>
        <w:pStyle w:val="kar_normal"/>
        <w:ind w:left="720"/>
      </w:pPr>
      <w:r>
        <w:t xml:space="preserve">The details of esthetic restrictions.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funds are necessary initially to implement this administrative regulation.</w:t>
      </w:r>
    </w:p>
    <w:p>
      <w:pPr>
        <w:pStyle w:val="kar_normal"/>
        <w:ind w:left="576"/>
      </w:pPr>
      <w:r>
        <w:t xml:space="preserve">(b) On a continuing basis:</w:t>
      </w:r>
    </w:p>
    <w:p>
      <w:pPr>
        <w:pStyle w:val="kar_normal"/>
        <w:ind w:left="720"/>
      </w:pPr>
      <w:r>
        <w:t xml:space="preserve">No additional funds are necessary on an ongoing basis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funding will not change.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changes or increases in fees is required by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created or increased directly or indirectly by this regulation.</w:t>
      </w:r>
    </w:p>
    <w:p>
      <w:pPr>
        <w:pStyle w:val="kar_normal"/>
        <w:ind w:left="288"/>
      </w:pPr>
      <w:r>
        <w:t xml:space="preserve">(9) TIERING: Is tiering applied?</w:t>
      </w:r>
    </w:p>
    <w:p>
      <w:pPr>
        <w:pStyle w:val="kar_normal"/>
        <w:ind w:left="432"/>
      </w:pPr>
      <w:r>
        <w:t xml:space="preserve">Tiering is not applied as this administrative regulation does not impose any requirements on current or prospective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Hairdressers and Cosmetologists.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317A.050, KRS 317A.060.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funds will be raised.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funds will be raised.</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432"/>
      </w:pPr>
      <w:r>
        <w:t xml:space="preserve">Not applicable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432"/>
      </w:pPr>
      <w:r>
        <w:t xml:space="preserve">Not applicable.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create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ccdecbf8934883" /><Relationship Type="http://schemas.openxmlformats.org/officeDocument/2006/relationships/settings" Target="/word/settings.xml" Id="Rc93af7e5923f4675" /></Relationships>
</file>