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9251d57fd54776" /></Relationships>
</file>

<file path=word/document.xml><?xml version="1.0" encoding="utf-8"?>
<w:document xmlns:w="http://schemas.openxmlformats.org/wordprocessingml/2006/main">
  <w:body>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directs the Education Professional Standards Board (EPSB) to adopt administrative regulations establishing standards and procedures for the alternative route to certification institute and the approval for these programs. This administrative regulation establishes the required elements of the route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Providers who are not currently accredited by the EPSB in accordance with 16 KAR 5:010, are recommended to demonstrate partnerships with institutions of higher education accredited by the EPSB and school districts or cooperatives recognized by the Kentucky Department of Education.</w:t>
      </w:r>
    </w:p>
    <w:p>
      <w:pPr>
        <w:pStyle w:val="kar_subsection"/>
      </w:pPr>
      <w:r>
        <w:t xml:space="preserve">(2)</w:t>
      </w:r>
      <w:r>
        <w:t xml:space="preserve"> </w:t>
      </w:r>
      <w:r>
        <w:t xml:space="preserve">Providers shall submit an application to the EPSB in accordance with the Guidelines for Submitting an Application to Provide an Alternative Route to Certification Institute.</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Applications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w:t>
      </w:r>
    </w:p>
    <w:p>
      <w:pPr>
        <w:pStyle w:val="kar_paragraph"/>
      </w:pPr>
      <w:r>
        <w:t xml:space="preserve">(a)</w:t>
      </w:r>
      <w:r>
        <w:t xml:space="preserve"> </w:t>
      </w:r>
      <w:r>
        <w:t xml:space="preserve">If EPSB staff determines that the application addresses the requirements, it shall be forwarded to an external review team.</w:t>
      </w:r>
    </w:p>
    <w:p>
      <w:pPr>
        <w:pStyle w:val="kar_paragraph"/>
      </w:pPr>
      <w:r>
        <w:t xml:space="preserve">(b)</w:t>
      </w:r>
      <w:r>
        <w:t xml:space="preserve"> </w:t>
      </w:r>
      <w:r>
        <w:t xml:space="preserve">If EPSB staff determines that the application does not address all the requirements, staff shall notify the provider of the deficiencies.</w:t>
      </w:r>
    </w:p>
    <w:p>
      <w:pPr>
        <w:pStyle w:val="kar_subsection"/>
      </w:pPr>
      <w:r>
        <w:t xml:space="preserve">(3)</w:t>
      </w:r>
      <w:r>
        <w:t xml:space="preserve"> </w:t>
      </w:r>
      <w:r>
        <w:t xml:space="preserve">An external review team of trained reviewers identified by EPSB staff shall review the application in accordance with KRS 161.048(8) and the Guidelines for Submitting an Application to Provide an Alternative Route to Certification Institute.</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Providers may apply for an extension of approval as outlined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The request for continuance shall set forth statistical information related to teacher retention for all prior candidates who have completed the institute. Standards for program approval and program quality specified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evidence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programs.</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Appeals Process.</w:t>
      </w:r>
    </w:p>
    <w:p>
      <w:pPr>
        <w:pStyle w:val="kar_subsection"/>
      </w:pPr>
      <w:r>
        <w:t xml:space="preserve">(1)</w:t>
      </w:r>
      <w:r>
        <w:t xml:space="preserve"> </w:t>
      </w:r>
      <w:r>
        <w:t xml:space="preserve">If a provider seeks appeal of an EPSB decision, the provider shall appeal within thirty (30) days of receipt of the EPSB official notification. A provider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An appeals panel of no fewer than three (3) members shall be appointed by the EPSB chair from members of the EPSB who do not have a conflict of interest regarding the provider or institute. The ad hoc committee shall recommend action on the appeal to the full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 the following:</w:t>
      </w:r>
    </w:p>
    <w:p>
      <w:pPr>
        <w:pStyle w:val="kar_paragraph"/>
      </w:pPr>
      <w:r>
        <w:t xml:space="preserve">(a)</w:t>
      </w:r>
      <w:r>
        <w:t xml:space="preserve"> </w:t>
      </w:r>
      <w:r>
        <w:t xml:space="preserve">Approval status of all EPSB approved Option 7programs;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Providers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 (8)(a)1.-4. and 16 KAR 2:010, Section 3 (1), shall be issued a one-year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nonpublic school in the content area of the certification.</w:t>
      </w:r>
    </w:p>
    <w:p>
      <w:pPr>
        <w:pStyle w:val="kar_subsection"/>
      </w:pPr>
      <w:r>
        <w:t xml:space="preserve">(3)</w:t>
      </w:r>
      <w:r>
        <w:t xml:space="preserve"> </w:t>
      </w:r>
      <w:r>
        <w:t xml:space="preserve">The temporary provisional certificate may be renewed for a maximum of two (2) additional years.</w:t>
      </w:r>
    </w:p>
    <w:p>
      <w:pPr>
        <w:pStyle w:val="kar_subsection"/>
      </w:pPr>
      <w:r>
        <w:t xml:space="preserve">(4)</w:t>
      </w:r>
      <w:r>
        <w:t xml:space="preserve"> </w:t>
      </w:r>
      <w:r>
        <w:t xml:space="preserve">A candidate shall be eligible for first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w:t>
      </w:r>
    </w:p>
    <w:p>
      <w:pPr>
        <w:pStyle w:val="kar_paragraph"/>
      </w:pPr>
      <w:r>
        <w:t xml:space="preserve">(b)</w:t>
      </w:r>
      <w:r>
        <w:t xml:space="preserve"> </w:t>
      </w:r>
      <w:r>
        <w:t xml:space="preserve">Evidence of employment in a Kentucky school district or nonpublic school in the content area of the certification.</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of the alternative route to certification institute,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 Guidelines for Submitting an Application to Provide an Alternative Route to Certification Institute",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658d755cd54a77" /><Relationship Type="http://schemas.openxmlformats.org/officeDocument/2006/relationships/settings" Target="/word/settings.xml" Id="Rc7bf279a55cc4766" /></Relationships>
</file>