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2f1cef0ea74e7f"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p>
    <w:p>
      <w:pPr>
        <w:pStyle w:val="kar_paragraph"/>
      </w:pPr>
      <w:r>
        <w:t xml:space="preserve">(e)</w:t>
      </w:r>
      <w:r>
        <w:t xml:space="preserve"> </w:t>
      </w:r>
      <w:r>
        <w:t xml:space="preserve">Light Cured Gels;</w:t>
      </w:r>
    </w:p>
    <w:p>
      <w:pPr>
        <w:pStyle w:val="kar_paragraph"/>
      </w:pPr>
      <w:r>
        <w:t xml:space="preserve">(f)</w:t>
      </w:r>
      <w:r>
        <w:t xml:space="preserve"> </w:t>
      </w:r>
      <w:r>
        <w:t xml:space="preserve">Nail Structure and Growth; and</w:t>
      </w:r>
    </w:p>
    <w:p>
      <w:pPr>
        <w:pStyle w:val="kar_paragraph"/>
      </w:pPr>
      <w:r>
        <w:t xml:space="preserve">(g)</w:t>
      </w:r>
      <w:r>
        <w:t xml:space="preserve"> </w:t>
      </w:r>
      <w:r>
        <w:t xml:space="preserve">Nail Diseases and Disorders.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t xml:space="preserve">(1)</w:t>
      </w:r>
      <w:r>
        <w:t xml:space="preserve"> </w:t>
      </w:r>
      <w:r>
        <w:t xml:space="preserve">An apprentice instructor shall be under the immediate supervision and instruction of a licensed instructor while providing any instruction for students. "Immediate supervision" in this instance means a licensed instructor is physically present in the same room and overseeing the activities of the apprentice instructor at all times.</w:t>
      </w:r>
    </w:p>
    <w:p>
      <w:pPr>
        <w:pStyle w:val="kar_subsection"/>
      </w:pPr>
      <w:r>
        <w:t xml:space="preserve">(2)</w:t>
      </w:r>
      <w:r>
        <w:t xml:space="preserve"> </w:t>
      </w:r>
      <w:r>
        <w:t xml:space="preserve">An apprentice instructor shall not assume the duties and responsibilities of a licensed supervising instructor.</w:t>
      </w:r>
    </w:p>
    <w:p>
      <w:pPr>
        <w:pStyle w:val="kar_subsection"/>
      </w:pPr>
      <w:r>
        <w:t xml:space="preserve">(3)</w:t>
      </w:r>
      <w:r>
        <w:t xml:space="preserve"> </w:t>
      </w:r>
      <w: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Shampoo Styling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Shampoo Styling License Hours Required.</w:t>
      </w:r>
    </w:p>
    <w:p>
      <w:pPr>
        <w:pStyle w:val="kar_subsection"/>
      </w:pPr>
      <w:r>
        <w:t xml:space="preserve">(1)</w:t>
      </w:r>
      <w:r>
        <w:t xml:space="preserve"> </w:t>
      </w:r>
      <w:r>
        <w:t xml:space="preserve">A shampoo styling services license student shall receive no less than 300 hours in clinical and theory class work with a minimum of:</w:t>
      </w:r>
    </w:p>
    <w:p>
      <w:pPr>
        <w:pStyle w:val="kar_paragraph"/>
      </w:pPr>
      <w:r>
        <w:t xml:space="preserve">(a)</w:t>
      </w:r>
      <w:r>
        <w:t xml:space="preserve"> </w:t>
      </w:r>
      <w:r>
        <w:t xml:space="preserve">100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175 clinic and practice hours.</w:t>
      </w:r>
    </w:p>
    <w:p>
      <w:pPr>
        <w:pStyle w:val="kar_subsection"/>
      </w:pPr>
      <w:r>
        <w:t xml:space="preserve">(2)</w:t>
      </w:r>
      <w:r>
        <w:t xml:space="preserve"> </w:t>
      </w:r>
      <w:r>
        <w:t xml:space="preserve">A shampoo styling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10th day of each month, a licensed school shall submit to the board via electronic delivery a certification of each student's or apprentice instructor's total hours obtained for the previous month and the total accumulated hours to date for all individuals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the enrolled individual additional fees beyond the agreed upon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or apprentice instructor to perform services in the school for compensation.</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t xml:space="preserve">(11)</w:t>
      </w:r>
      <w:r>
        <w:t xml:space="preserve"> </w:t>
      </w:r>
      <w:r>
        <w:t xml:space="preserve">All instructors on staff within a licensed school shall be designated as full time, part time, or substitute instructors to the board when reporting employment.</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the twelfth grade of high school.</w:t>
      </w:r>
    </w:p>
    <w:p>
      <w:pPr>
        <w:pStyle w:val="kar_paragraph"/>
      </w:pPr>
      <w:r>
        <w:t xml:space="preserve">(d)</w:t>
      </w:r>
      <w:r>
        <w:t xml:space="preserve"> </w:t>
      </w:r>
      <w: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 photograph taken within thirty (30) days of submission of the application.</w:t>
      </w:r>
    </w:p>
    <w:p>
      <w:pPr>
        <w:pStyle w:val="kar_subsection"/>
      </w:pPr>
      <w:r>
        <w:t xml:space="preserve">(3)</w:t>
      </w:r>
      <w:r>
        <w:t xml:space="preserve"> </w:t>
      </w:r>
      <w:r>
        <w:t xml:space="preserve">A student or apprentice instructor enrolling in a licensed school who desires to transfer hours from an out of state school shall, prior to enrollment, provide to the board certification of the hours to be transferred from the state agency that governs the out of 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is not necessary until examination.</w:t>
      </w:r>
    </w:p>
    <w:p>
      <w:pPr>
        <w:pStyle w:val="kar_subsection"/>
      </w:pPr>
      <w:r>
        <w:t xml:space="preserve">(5)</w:t>
      </w:r>
      <w:r>
        <w:t xml:space="preserve"> </w:t>
      </w:r>
      <w:r>
        <w:t xml:space="preserve">All enrollments shall be accompanied by the proper fee as defined in 201 KAR 12:260.</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a digital enrollment, accompanied by the applicant's proof of education and proof of licensure if enrolling as an apprentice instructor, as established in Section 23 of this administrative regulation, within ten (10) business days of enrollment.</w:t>
      </w:r>
    </w:p>
    <w:p>
      <w:pPr>
        <w:pStyle w:val="kar_subsection"/>
      </w:pPr>
      <w:r>
        <w:t xml:space="preserve">(2)</w:t>
      </w:r>
      <w:r>
        <w:t xml:space="preserve"> </w:t>
      </w:r>
      <w:r>
        <w:t xml:space="preserve">All identification information submitted on the school's digital enrollment shall exactly match a state or federal government-issued identification card to take the examination. If corrections shall be made, the school shall submit the Enrollment Correction Application digitally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t xml:space="preserve">(4)</w:t>
      </w:r>
      <w:r>
        <w:t xml:space="preserve"> </w:t>
      </w:r>
      <w:r>
        <w:t xml:space="preserve">An apprentice instructor may receive compensation as a teaching assistant.</w:t>
      </w:r>
    </w:p>
    <w:p>
      <w:pPr>
        <w:pStyle w:val="kar_section"/>
      </w:pPr>
      <w:r>
        <w:t xml:space="preserve">Section 26.</w:t>
      </w:r>
      <w:r>
        <w:t xml:space="preserve"> </w:t>
      </w:r>
      <w:r>
        <w:t xml:space="preserve">Hours of Operation. All schools shall report hours of operation to the board. Any change of hours or closures shall be reported no less than ten (10) business days in advance of change or closure.</w:t>
      </w:r>
    </w:p>
    <w:p>
      <w:pPr>
        <w:pStyle w:val="kar_section"/>
      </w:pPr>
      <w:r>
        <w:t xml:space="preserve">Section 27.</w:t>
      </w:r>
      <w:r>
        <w:t xml:space="preserve"> </w:t>
      </w:r>
      <w:r>
        <w:t xml:space="preserve">Transfers. An individual desiring to transfer to another licensed school shall:</w:t>
      </w:r>
    </w:p>
    <w:p>
      <w:pPr>
        <w:pStyle w:val="kar_subsection"/>
      </w:pPr>
      <w:r>
        <w:t xml:space="preserve">(1)</w:t>
      </w:r>
      <w:r>
        <w:t xml:space="preserve"> </w:t>
      </w:r>
      <w:r>
        <w:t xml:space="preserve">Within ten (10) days, notify the school in which the individual is presently enrolled of the withdrawal in writing; and</w:t>
      </w:r>
    </w:p>
    <w:p>
      <w:pPr>
        <w:pStyle w:val="kar_subsection"/>
      </w:pPr>
      <w:r>
        <w:t xml:space="preserve">(2)</w:t>
      </w:r>
      <w:r>
        <w:t xml:space="preserve"> </w:t>
      </w:r>
      <w:r>
        <w:t xml:space="preserve">Complete a digital enrollment as required for the new school.</w:t>
      </w:r>
    </w:p>
    <w:p>
      <w:pPr>
        <w:pStyle w:val="kar_section"/>
      </w:pPr>
      <w:r>
        <w:t xml:space="preserve">Section 28.</w:t>
      </w:r>
      <w:r>
        <w:t xml:space="preserve"> </w:t>
      </w:r>
      <w:r>
        <w:t xml:space="preserve">Refund Policy. A school shall include the school's refund policy in all enrollment contracts.</w:t>
      </w:r>
    </w:p>
    <w:p>
      <w:pPr>
        <w:pStyle w:val="kar_section"/>
      </w:pPr>
      <w:r>
        <w:t xml:space="preserve">Section 29.</w:t>
      </w:r>
      <w:r>
        <w:t xml:space="preserve"> </w:t>
      </w:r>
      <w:r>
        <w:t xml:space="preserve">Student Complaints. A student or apprentice instructor may file a complaint with the board concerning the school in which the individual is enrolled, by following the procedures outlined in 201 KAR 12:190.</w:t>
      </w:r>
    </w:p>
    <w:p>
      <w:pPr>
        <w:pStyle w:val="kar_section"/>
      </w:pPr>
      <w:r>
        <w:t xml:space="preserve">Section 30.</w:t>
      </w:r>
      <w:r>
        <w:t xml:space="preserve"> </w:t>
      </w:r>
      <w:r>
        <w:t xml:space="preserve">Student Leave of Absence. The school shall report an individual's leave of absence to the board within ten (10) business days. The leave shall be reported:</w:t>
      </w:r>
    </w:p>
    <w:p>
      <w:pPr>
        <w:pStyle w:val="kar_subsection"/>
      </w:pPr>
      <w:r>
        <w:t xml:space="preserve">(1)</w:t>
      </w:r>
      <w:r>
        <w:t xml:space="preserve"> </w:t>
      </w:r>
      <w:r>
        <w:t xml:space="preserve">In writing from the individual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31.</w:t>
      </w:r>
      <w:r>
        <w:t xml:space="preserve"> </w:t>
      </w:r>
      <w:r>
        <w:t xml:space="preserve"> Withdrawal. Within ten (10) business days from a student or apprentice instructor's withdrawal, a licensed school shall report the name of the withdrawing individual  to the board.</w:t>
      </w:r>
    </w:p>
    <w:p>
      <w:pPr>
        <w:pStyle w:val="kar_section"/>
      </w:pPr>
      <w:r>
        <w:t xml:space="preserve">Section 32.</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33.</w:t>
      </w:r>
      <w:r>
        <w:t xml:space="preserve"> </w:t>
      </w:r>
      <w:r>
        <w:t xml:space="preserve">Program Transfer Hours. An individual transferring valid hours between board licensed schools or a current licensee choosing to enroll into a licensed school to learn the practice of cosmetology, esthetics, shampoo styling or nail technology shall complete and submit the Program Hour Transfer Request form. With exceptions as listed in subsection 1 through 4 of this section an individual shall not transfer hours from one discipline to another. Upon receiving a completed Program Hour Transfer Request form, the board shall treat the transferred valid hours or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shampoo styling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34.</w:t>
      </w:r>
      <w:r>
        <w:t xml:space="preserve"> </w:t>
      </w:r>
      <w:r>
        <w:t xml:space="preserve">Emergency Alternative Education. Digital theory content may be administered by a licensed school if forced long-term or intermittent emergency closure or closures are due to a world health concern or crisis as cited by national or state authority. The board may determine when emergency alternative education shall begin and end based on the effect of the state of emergency on education standards and shall make determinations in compliance with state and national declarations of emergency. The necessary compliance steps for implementation are:</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35.</w:t>
      </w:r>
      <w:r>
        <w:t xml:space="preserve"> </w:t>
      </w:r>
      <w:r>
        <w:t xml:space="preserve">Incorporation by Reference. The following material is incorporated by reference:</w:t>
      </w:r>
    </w:p>
    <w:p>
      <w:pPr>
        <w:pStyle w:val="kar_subsection"/>
      </w:pPr>
      <w:r>
        <w:t xml:space="preserve">(1)</w:t>
      </w:r>
      <w:r>
        <w:t xml:space="preserve"> </w:t>
      </w:r>
    </w:p>
    <w:p>
      <w:pPr>
        <w:pStyle w:val="kar_paragraph"/>
      </w:pPr>
      <w:r>
        <w:t xml:space="preserve">(a)</w:t>
      </w:r>
      <w:r>
        <w:t xml:space="preserve"> </w:t>
      </w:r>
      <w:r>
        <w:t xml:space="preserve">"Certification of Student Extracurricular Event Hours", July 2022;</w:t>
      </w:r>
    </w:p>
    <w:p>
      <w:pPr>
        <w:pStyle w:val="kar_paragraph"/>
      </w:pPr>
      <w:r>
        <w:t xml:space="preserve">(b)</w:t>
      </w:r>
      <w:r>
        <w:t xml:space="preserve"> </w:t>
      </w:r>
      <w:r>
        <w:t xml:space="preserve">"Enrollment Correction Application", July 2022; and</w:t>
      </w:r>
    </w:p>
    <w:p>
      <w:pPr>
        <w:pStyle w:val="kar_paragraph"/>
      </w:pPr>
      <w:r>
        <w:t xml:space="preserve">(c)</w:t>
      </w:r>
      <w:r>
        <w:t xml:space="preserve"> </w:t>
      </w:r>
      <w:r>
        <w:t xml:space="preserve">"Program Hour Transfer Request Form", July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This material is also available on the board's Web site at kbc.ky.gov.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cacb526df54d3d" /><Relationship Type="http://schemas.openxmlformats.org/officeDocument/2006/relationships/settings" Target="/word/settings.xml" Id="R7c07b4da120541f0" /></Relationships>
</file>