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544d556cad41f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(Amended After Comments)</w:t>
      </w:r>
    </w:p>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w:t>
      </w:r>
      <w:r>
        <w:rPr>
          <w:b/>
          <w:u w:val="single"/>
        </w:rPr>
        <w:t xml:space="preserve">(13)</w:t>
      </w:r>
      <w:r>
        <w:t>[</w:t>
      </w:r>
      <w:r>
        <w:rPr>
          <w:b/>
          <w:strike w:val="true"/>
        </w:rPr>
        <w:t xml:space="preserve">(11)</w:t>
      </w:r>
      <w:r>
        <w:t>]</w:t>
      </w:r>
      <w:r>
        <w:t xml:space="preserve">.</w:t>
      </w:r>
    </w:p>
    <w:p>
      <w:pPr>
        <w:pStyle w:val="kar_subsection"/>
      </w:pPr>
      <w:r>
        <w:t xml:space="preserve">(3)</w:t>
      </w:r>
      <w:r>
        <w:t xml:space="preserve"> </w:t>
      </w:r>
      <w:r>
        <w:t xml:space="preserve">"Industrialized building system" or "building system" is defined by KRS 198B.010</w:t>
      </w:r>
      <w:r>
        <w:rPr>
          <w:b/>
          <w:u w:val="single"/>
        </w:rPr>
        <w:t xml:space="preserve">(18)</w:t>
      </w:r>
      <w:r>
        <w:t>[</w:t>
      </w:r>
      <w:r>
        <w:rPr>
          <w:b/>
          <w:strike w:val="true"/>
        </w:rPr>
        <w:t xml:space="preserve">(16)</w:t>
      </w:r>
      <w:r>
        <w:t>]</w:t>
      </w:r>
      <w:r>
        <w:t xml:space="preserve">.</w:t>
      </w:r>
    </w:p>
    <w:p>
      <w:pPr>
        <w:pStyle w:val="kar_subsection"/>
      </w:pPr>
      <w:r>
        <w:t xml:space="preserve">(4)</w:t>
      </w:r>
      <w:r>
        <w:t xml:space="preserve"> </w:t>
      </w:r>
      <w:r>
        <w:t xml:space="preserve">"Manufactured home" is defined by KRS 227.550</w:t>
      </w:r>
      <w:r>
        <w:rPr>
          <w:b/>
          <w:u w:val="single"/>
        </w:rPr>
        <w:t xml:space="preserve">(6)</w:t>
      </w:r>
      <w:r>
        <w:t>[</w:t>
      </w:r>
      <w:r>
        <w:rPr>
          <w:b/>
          <w:strike w:val="true"/>
        </w:rPr>
        <w:t xml:space="preserve">(7)</w:t>
      </w:r>
      <w:r>
        <w:t>]</w:t>
      </w:r>
      <w:r>
        <w:t xml:space="preserve">.</w:t>
      </w:r>
    </w:p>
    <w:p>
      <w:pPr>
        <w:pStyle w:val="kar_subsection"/>
      </w:pPr>
      <w:r>
        <w:t xml:space="preserve">(5)</w:t>
      </w:r>
      <w:r>
        <w:t xml:space="preserve"> </w:t>
      </w:r>
      <w:r>
        <w:t xml:space="preserve">"Single-family dwelling" or "</w:t>
      </w:r>
      <w:r>
        <w:t>[</w:t>
      </w:r>
      <w:r>
        <w:rPr>
          <w:strike w:val="true"/>
        </w:rPr>
        <w:t xml:space="preserve">one (</w:t>
      </w:r>
      <w:r>
        <w:t>]</w:t>
      </w:r>
      <w:r>
        <w:t xml:space="preserve">1</w:t>
      </w:r>
      <w:r>
        <w:t>[</w:t>
      </w:r>
      <w:r>
        <w:rPr>
          <w:strike w:val="true"/>
        </w:rPr>
        <w:t xml:space="preserve">)</w:t>
      </w:r>
      <w:r>
        <w:t>]</w:t>
      </w:r>
      <w:r>
        <w:t xml:space="preserve">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w:t>
      </w:r>
      <w:r>
        <w:t>[</w:t>
      </w:r>
      <w:r>
        <w:rPr>
          <w:strike w:val="true"/>
        </w:rPr>
        <w:t xml:space="preserve"> unit or</w:t>
      </w:r>
      <w:r>
        <w:t>]</w:t>
      </w:r>
      <w:r>
        <w:t xml:space="preserve">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w:t>
      </w:r>
      <w:r>
        <w:t>[</w:t>
      </w:r>
      <w:r>
        <w:rPr>
          <w:strike w:val="true"/>
        </w:rPr>
        <w:t xml:space="preserve"> Code</w:t>
      </w:r>
      <w:r>
        <w:t>]</w:t>
      </w:r>
      <w:r>
        <w:t xml:space="preserve">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w:t>
      </w:r>
      <w:r>
        <w:rPr>
          <w:b/>
          <w:u w:val="single"/>
        </w:rPr>
        <w:t xml:space="preserve">conflicting</w:t>
      </w:r>
      <w:r>
        <w:t>[</w:t>
      </w:r>
      <w:r>
        <w:rPr>
          <w:b/>
          <w:strike w:val="true"/>
        </w:rPr>
        <w:t xml:space="preserve">confliction</w:t>
      </w:r>
      <w:r>
        <w:t>]</w:t>
      </w:r>
      <w:r>
        <w:t>[</w:t>
      </w:r>
      <w:r>
        <w:rPr>
          <w:strike w:val="true"/>
        </w:rPr>
        <w:t xml:space="preserve">conflicting</w:t>
      </w:r>
      <w:r>
        <w:t>]</w:t>
      </w:r>
      <w:r>
        <w:t xml:space="preserve">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w:t>
            </w:r>
          </w:p>
        </w:tc>
        <w:tc>
          <w:tcPr/>
          <w:p>
            <w:pPr>
              <w:pStyle w:val="kar_table_cell"/>
            </w:pPr>
            <w:r>
              <w:rPr>
                <w:b/>
                <w:u w:val="single"/>
              </w:rPr>
              <w:t xml:space="preserve">16</w:t>
            </w:r>
            <w:r>
              <w:t>[</w:t>
            </w:r>
            <w:r>
              <w:rPr>
                <w:b/>
                <w:strike w:val="true"/>
              </w:rPr>
              <w:t xml:space="preserve">Sixteen (16)</w:t>
            </w:r>
            <w:r>
              <w:t>]</w:t>
            </w:r>
            <w:r>
              <w:t xml:space="preserve"> cents</w:t>
            </w:r>
          </w:p>
        </w:tc>
      </w:tr>
      <w:tr>
        <w:tc>
          <w:tcPr/>
          <w:p>
            <w:pPr>
              <w:pStyle w:val="kar_table_cell"/>
            </w:pPr>
            <w:r>
              <w:t xml:space="preserve">Business</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Day care centers</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Educational</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High Hazard</w:t>
            </w:r>
          </w:p>
        </w:tc>
        <w:tc>
          <w:tcPr/>
          <w:p>
            <w:pPr>
              <w:pStyle w:val="kar_table_cell"/>
            </w:pPr>
            <w:r>
              <w:rPr>
                <w:b/>
                <w:u w:val="single"/>
              </w:rPr>
              <w:t xml:space="preserve">16</w:t>
            </w:r>
            <w:r>
              <w:t>[</w:t>
            </w:r>
            <w:r>
              <w:rPr>
                <w:b/>
                <w:strike w:val="true"/>
              </w:rPr>
              <w:t xml:space="preserve">Sixteen (16)</w:t>
            </w:r>
            <w:r>
              <w:t>]</w:t>
            </w:r>
            <w:r>
              <w:t xml:space="preserve"> cents</w:t>
            </w:r>
          </w:p>
        </w:tc>
      </w:tr>
      <w:tr>
        <w:tc>
          <w:tcPr/>
          <w:p>
            <w:pPr>
              <w:pStyle w:val="kar_table_cell"/>
            </w:pPr>
            <w:r>
              <w:t xml:space="preserve">Industrial factories</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Institutional</w:t>
            </w:r>
          </w:p>
        </w:tc>
        <w:tc>
          <w:tcPr/>
          <w:p>
            <w:pPr>
              <w:pStyle w:val="kar_table_cell"/>
            </w:pPr>
            <w:r>
              <w:rPr>
                <w:b/>
                <w:u w:val="single"/>
              </w:rPr>
              <w:t xml:space="preserve">16</w:t>
            </w:r>
            <w:r>
              <w:t>[</w:t>
            </w:r>
            <w:r>
              <w:rPr>
                <w:b/>
                <w:strike w:val="true"/>
              </w:rPr>
              <w:t xml:space="preserve">Sixteen (16)</w:t>
            </w:r>
            <w:r>
              <w:t>]</w:t>
            </w:r>
            <w:r>
              <w:t xml:space="preserve"> cents</w:t>
            </w:r>
          </w:p>
        </w:tc>
      </w:tr>
      <w:tr>
        <w:tc>
          <w:tcPr/>
          <w:p>
            <w:pPr>
              <w:pStyle w:val="kar_table_cell"/>
            </w:pPr>
            <w:r>
              <w:t xml:space="preserve">Mercantile</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Residential</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Storage</w:t>
            </w:r>
          </w:p>
        </w:tc>
        <w:tc>
          <w:tcPr/>
          <w:p>
            <w:pPr>
              <w:pStyle w:val="kar_table_cell"/>
            </w:pPr>
            <w:r>
              <w:rPr>
                <w:b/>
                <w:u w:val="single"/>
              </w:rPr>
              <w:t xml:space="preserve">15</w:t>
            </w:r>
            <w:r>
              <w:t>[</w:t>
            </w:r>
            <w:r>
              <w:rPr>
                <w:b/>
                <w:strike w:val="true"/>
              </w:rPr>
              <w:t xml:space="preserve">Fifteen (15)</w:t>
            </w:r>
            <w:r>
              <w:t>]</w:t>
            </w:r>
            <w:r>
              <w:t xml:space="preserve"> cents</w:t>
            </w:r>
          </w:p>
        </w:tc>
      </w:tr>
      <w:tr>
        <w:tc>
          <w:tcPr/>
          <w:p>
            <w:pPr>
              <w:pStyle w:val="kar_table_cell"/>
            </w:pPr>
            <w:r>
              <w:t xml:space="preserve">Utility and Miscellaneous</w:t>
            </w:r>
          </w:p>
        </w:tc>
        <w:tc>
          <w:tcPr/>
          <w:p>
            <w:pPr>
              <w:pStyle w:val="kar_table_cell"/>
            </w:pPr>
            <w:r>
              <w:rPr>
                <w:b/>
                <w:u w:val="single"/>
              </w:rPr>
              <w:t xml:space="preserve">13</w:t>
            </w:r>
            <w:r>
              <w:t>[</w:t>
            </w:r>
            <w:r>
              <w:rPr>
                <w:b/>
                <w:strike w:val="true"/>
              </w:rPr>
              <w:t xml:space="preserve">Thirteen (13)</w:t>
            </w:r>
            <w:r>
              <w:t>]</w:t>
            </w:r>
            <w:r>
              <w:t xml:space="preserve"> cents</w:t>
            </w:r>
          </w:p>
        </w:tc>
      </w:tr>
      <w:tr>
        <w:tc>
          <w:tcPr/>
          <w:p>
            <w:pPr>
              <w:pStyle w:val="kar_table_cell"/>
            </w:pPr>
            <w:r>
              <w:t xml:space="preserve">Production greenhouse</w:t>
            </w:r>
          </w:p>
        </w:tc>
        <w:tc>
          <w:tcPr/>
          <w:p>
            <w:pPr>
              <w:pStyle w:val="kar_table_cell"/>
            </w:pPr>
            <w:r>
              <w:rPr>
                <w:b/>
                <w:u w:val="single"/>
              </w:rPr>
              <w:t xml:space="preserve">10</w:t>
            </w:r>
            <w:r>
              <w:t>[</w:t>
            </w:r>
            <w:r>
              <w:rPr>
                <w:b/>
                <w:strike w:val="true"/>
              </w:rPr>
              <w:t xml:space="preserve">Ten (10)</w:t>
            </w:r>
            <w:r>
              <w:t>]</w:t>
            </w:r>
            <w:r>
              <w:t xml:space="preserve">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w:t>
      </w:r>
      <w:r>
        <w:rPr>
          <w:u w:val="single"/>
        </w:rPr>
        <w:t xml:space="preserve">of</w:t>
      </w:r>
      <w:r>
        <w:t>[</w:t>
      </w:r>
      <w:r>
        <w:rPr>
          <w:strike w:val="true"/>
        </w:rPr>
        <w:t xml:space="preserve">for</w:t>
      </w:r>
      <w:r>
        <w:t>]</w:t>
      </w:r>
      <w:r>
        <w:t xml:space="preserve">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rPr>
                <w:b/>
                <w:u w:val="single"/>
              </w:rPr>
              <w:t xml:space="preserve">4-25</w:t>
            </w:r>
            <w:r>
              <w:t>[</w:t>
            </w:r>
            <w:r>
              <w:rPr>
                <w:b/>
                <w:strike w:val="true"/>
              </w:rPr>
              <w:t xml:space="preserve">Four (4) – twenty-five (25)</w:t>
            </w:r>
            <w:r>
              <w:t>]</w:t>
            </w:r>
          </w:p>
        </w:tc>
        <w:tc>
          <w:tcPr/>
          <w:p>
            <w:pPr>
              <w:pStyle w:val="kar_table_cell"/>
            </w:pPr>
            <w:r>
              <w:t xml:space="preserve">$150</w:t>
            </w:r>
          </w:p>
        </w:tc>
      </w:tr>
      <w:tr>
        <w:tc>
          <w:tcPr/>
          <w:p>
            <w:pPr>
              <w:pStyle w:val="kar_table_cell"/>
            </w:pPr>
            <w:r>
              <w:rPr>
                <w:b/>
                <w:u w:val="single"/>
              </w:rPr>
              <w:t xml:space="preserve">26</w:t>
            </w:r>
            <w:r>
              <w:t>[</w:t>
            </w:r>
            <w:r>
              <w:rPr>
                <w:strike w:val="true"/>
              </w:rPr>
              <w:t xml:space="preserve">Twenty-six</w:t>
            </w:r>
            <w:r>
              <w:t>]</w:t>
            </w:r>
            <w:r>
              <w:t xml:space="preserve">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w:t>
      </w:r>
      <w:r>
        <w:rPr>
          <w:u w:val="single"/>
        </w:rPr>
        <w:t xml:space="preserve">of </w:t>
      </w:r>
      <w:r>
        <w:t xml:space="preserve">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w:t>
      </w:r>
      <w:r>
        <w:rPr>
          <w:b/>
          <w:u w:val="single"/>
        </w:rPr>
        <w:t xml:space="preserve">of agent</w:t>
      </w:r>
      <w:r>
        <w:t xml:space="preserve">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w:t>
      </w:r>
      <w:r>
        <w:rPr>
          <w:u w:val="single"/>
        </w:rPr>
        <w:t xml:space="preserve">Building </w:t>
      </w:r>
      <w:r>
        <w:t xml:space="preserve">Code Council, Inc.; and</w:t>
      </w:r>
    </w:p>
    <w:p>
      <w:pPr>
        <w:pStyle w:val="kar_paragraph"/>
      </w:pPr>
      <w:r>
        <w:t xml:space="preserve">(b)</w:t>
      </w:r>
      <w:r>
        <w:t xml:space="preserve"> </w:t>
      </w:r>
      <w:r>
        <w:t xml:space="preserve">"2018 Kentucky Building Code", </w:t>
      </w:r>
      <w:r>
        <w:rPr>
          <w:u w:val="single"/>
        </w:rPr>
        <w:t xml:space="preserve">Third Edition, </w:t>
      </w:r>
      <w:r>
        <w:rPr>
          <w:b/>
          <w:u w:val="single"/>
        </w:rPr>
        <w:t xml:space="preserve">August</w:t>
      </w:r>
      <w:r>
        <w:t>[</w:t>
      </w:r>
      <w:r>
        <w:rPr>
          <w:b/>
          <w:strike w:val="true"/>
          <w:u w:val="single"/>
        </w:rPr>
        <w:t xml:space="preserve">March</w:t>
      </w:r>
      <w:r>
        <w:t>]</w:t>
      </w:r>
      <w:r>
        <w:rPr>
          <w:u w:val="single"/>
        </w:rPr>
        <w:t xml:space="preserve"> 2022</w:t>
      </w:r>
      <w:r>
        <w:t>[</w:t>
      </w:r>
      <w:r>
        <w:rPr>
          <w:strike w:val="true"/>
        </w:rPr>
        <w:t xml:space="preserve">Second Edition, May 2020</w:t>
      </w:r>
      <w:r>
        <w:t>]</w:t>
      </w:r>
      <w:r>
        <w:t xml:space="preserve">.</w:t>
      </w:r>
    </w:p>
    <w:p>
      <w:pPr>
        <w:pStyle w:val="kar_subsection"/>
      </w:pPr>
      <w:r>
        <w:t xml:space="preserve">(2)</w:t>
      </w:r>
      <w:r>
        <w:t xml:space="preserve"> </w:t>
      </w:r>
      <w:r>
        <w:rPr>
          <w:b/>
          <w:u w:val="single"/>
        </w:rPr>
        <w:t xml:space="preserve">This</w:t>
      </w:r>
      <w:r>
        <w:t>[</w:t>
      </w:r>
      <w:r>
        <w:rPr>
          <w:b/>
          <w:strike w:val="true"/>
        </w:rPr>
        <w:t xml:space="preserve">The</w:t>
      </w:r>
      <w:r>
        <w:t>]</w:t>
      </w:r>
      <w:r>
        <w:t>[</w:t>
      </w:r>
      <w:r>
        <w:rPr>
          <w:strike w:val="true"/>
        </w:rPr>
        <w:t xml:space="preserve">This</w:t>
      </w:r>
      <w:r>
        <w:t>]</w:t>
      </w:r>
      <w:r>
        <w:t xml:space="preserve">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August 11, 2022</w:t>
      </w:r>
    </w:p>
    <w:p>
      <w:pPr>
        <w:pStyle w:val="kar_filed"/>
      </w:pPr>
      <w:r>
        <w:t xml:space="preserve">FILED WITH LRC: August 12, 2022 at 11:26 a.m.</w:t>
      </w:r>
    </w:p>
    <w:p>
      <w:pPr>
        <w:pStyle w:val="kar_normal"/>
      </w:pPr>
      <w:r>
        <w:t xml:space="preserve"/>
      </w:r>
    </w:p>
    <w:p>
      <w:pPr>
        <w:pStyle w:val="kar_contact_person"/>
      </w:pPr>
      <w:r>
        <w:t xml:space="preserve">CONTACT PERSON: Jonathon M. Fuller,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Building Code.</w:t>
      </w:r>
    </w:p>
    <w:p>
      <w:pPr>
        <w:pStyle w:val="kar_normal"/>
        <w:ind w:left="576"/>
      </w:pPr>
      <w:r>
        <w:t xml:space="preserve">(b) The necessity of this administrative regulation:</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w:t>
      </w:r>
    </w:p>
    <w:p>
      <w:pPr>
        <w:pStyle w:val="kar_normal"/>
        <w:ind w:left="576"/>
      </w:pPr>
      <w:r>
        <w:t xml:space="preserve">(c) How this administrative regulation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Building Code, as required by KRS 198B.040(7) and 198B.050 for the enforcement of the uniform state building code, incorporating all applicable laws into its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updated standards for controlled environment agriculture facilities in the Kentucky Building Code and corrects grammatical and technical errors in the 2018 Kentucky Building Code. Specifically: 1. Amends Section 201, Definitions, to include a definition of controlled environment agriculture facilities. 2. Amends Section 201, Definitions, to update the definition of commercial greenhouse to clarify public access and research uses. 3. Amends Section 304.1 by removing reference to 902 KAR 20:073. 4. Amends Section 306.3 Low-hazard factory industrial, Group F-2 to include packing and shipping areas of controlled environment agriculture facilities as an example of an F-2 occupancy. 5. Amends Section 433 to include references to controlled environment agriculture facilities and the applicable code standards for these facilities.</w:t>
      </w:r>
    </w:p>
    <w:p>
      <w:pPr>
        <w:pStyle w:val="kar_normal"/>
        <w:ind w:left="576"/>
      </w:pPr>
      <w:r>
        <w:t xml:space="preserve">(b) The necessity of the amendment to this administrative regulation:</w:t>
      </w:r>
    </w:p>
    <w:p>
      <w:pPr>
        <w:pStyle w:val="kar_normal"/>
        <w:ind w:left="720"/>
      </w:pPr>
      <w:r>
        <w:t xml:space="preserve">This amendment is necessary to implement code changes to the incorporated material. Specifically, the amendments related to controlled environment agriculture facility result from the requests of industry professionals, code professionals, and the public.</w:t>
      </w:r>
    </w:p>
    <w:p>
      <w:pPr>
        <w:pStyle w:val="kar_normal"/>
        <w:ind w:left="576"/>
      </w:pPr>
      <w:r>
        <w:t xml:space="preserve">(c) How the amendment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w:t>
      </w:r>
    </w:p>
    <w:p>
      <w:pPr>
        <w:pStyle w:val="kar_normal"/>
        <w:ind w:left="576"/>
      </w:pPr>
      <w:r>
        <w:t xml:space="preserve">(d) How the amendment will assist in the effective administration of the statutes:</w:t>
      </w:r>
    </w:p>
    <w:p>
      <w:pPr>
        <w:pStyle w:val="kar_normal"/>
        <w:ind w:left="720"/>
      </w:pPr>
      <w:r>
        <w:t xml:space="preserve">These amendments to the Kentucky Building Code will enhance public safety and allow the construction industry to use current technologies, methods, and materials.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construction projects subject to the Kentucky Building Code are affected by this administrative regulation. Architects, engineers, contractors, project managers, businesses, local governments, and Department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identified entities must comply with any applicable amendments to the Kentucky Building Code.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Affected entities will likely have no additional costs in complying with these amendments. They may save money as a result of these amendments.</w:t>
      </w:r>
    </w:p>
    <w:p>
      <w:pPr>
        <w:pStyle w:val="kar_normal"/>
        <w:ind w:left="576"/>
      </w:pPr>
      <w:r>
        <w:t xml:space="preserve">(c) As a result of compliance, what benefits will accrue to the entities identified in question (3):</w:t>
      </w:r>
    </w:p>
    <w:p>
      <w:pPr>
        <w:pStyle w:val="kar_normal"/>
        <w:ind w:left="720"/>
      </w:pPr>
      <w:r>
        <w:t xml:space="preserve">Benefits include a more clear building code with fewer errors, flexibility in building design, and increased clarity of construction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w:t>
      </w:r>
    </w:p>
    <w:p>
      <w:pPr>
        <w:pStyle w:val="kar_normal"/>
        <w:ind w:left="576"/>
      </w:pPr>
      <w:r>
        <w:t xml:space="preserve">(b) On a continuing basis:</w:t>
      </w:r>
    </w:p>
    <w:p>
      <w:pPr>
        <w:pStyle w:val="kar_normal"/>
        <w:ind w:left="720"/>
      </w:pPr>
      <w:r>
        <w:t xml:space="preserve">There are no anticipated additional costs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is anticipated to result in no additional costs to the agency. Any agency costs resulting from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funding. No fees are raised or changed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change previously established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and building inspection and plan review programs of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198B.040(7) and KRS 198B.050.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amendment in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may save certain regulated entities the cost of the installation of fire suppression equipment in facilities where the amendment clarifies that they are not required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may save certain regulated entities the cost of the installation of fire suppression equipment in facilities where the amendment clarifies that they are not required in subsequent years.</w:t>
      </w:r>
    </w:p>
    <w:p>
      <w:pPr>
        <w:pStyle w:val="kar_normal"/>
        <w:ind w:left="576"/>
      </w:pPr>
      <w:r>
        <w:t xml:space="preserve">(c) How much will it cost the regulated entities for the first year?</w:t>
      </w:r>
    </w:p>
    <w:p>
      <w:pPr>
        <w:pStyle w:val="kar_normal"/>
        <w:ind w:left="720"/>
      </w:pPr>
      <w:r>
        <w:t xml:space="preserve">This amendment will not require additional expenditures by regulated entities for the first year.</w:t>
      </w:r>
    </w:p>
    <w:p>
      <w:pPr>
        <w:pStyle w:val="kar_normal"/>
        <w:ind w:left="576"/>
      </w:pPr>
      <w:r>
        <w:t xml:space="preserve">(d) How much will it cost the regulated entities for subsequent years?</w:t>
      </w:r>
    </w:p>
    <w:p>
      <w:pPr>
        <w:pStyle w:val="kar_normal"/>
        <w:ind w:left="720"/>
      </w:pPr>
      <w:r>
        <w:t xml:space="preserve">This amendment will not require additional expenditures by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82b45c43e40f5" /><Relationship Type="http://schemas.openxmlformats.org/officeDocument/2006/relationships/settings" Target="/word/settings.xml" Id="Rb7ada148fec24a5a" /></Relationships>
</file>