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772f77e9884f2e"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(Amended at ARRS Committee)</w:t>
      </w:r>
    </w:p>
    <w:p>
      <w:pPr>
        <w:pStyle w:val="kar_citation"/>
      </w:pPr>
      <w:r>
        <w:t>101 KAR 2:102.</w:t>
      </w:r>
      <w:r>
        <w:t xml:space="preserve"> </w:t>
      </w:r>
      <w:r>
        <w:t xml:space="preserve">Classified leave general requirements.</w:t>
      </w:r>
    </w:p>
    <w:p>
      <w:pPr>
        <w:pStyle w:val="kar_markup_metadata"/>
      </w:pPr>
      <w:r>
        <w:t xml:space="preserve">RELATES TO: </w:t>
      </w:r>
      <w:r>
        <w:t xml:space="preserve">KRS 18A.020, 18A.030, 18A.095, 18A.110, 18A.140, 18A.145, 18A.195, 18A.990, 61.373, 61.394, 118.035, 344.030, 29 C.F.R. 825, 29 U.S.C. 8, 29 U.S.C. 201 – 219, 2601 – 2654</w:t>
      </w:r>
    </w:p>
    <w:p>
      <w:pPr>
        <w:pStyle w:val="kar_markup_metadata"/>
      </w:pPr>
      <w:r>
        <w:t xml:space="preserve">STATUTORY AUTHORITY: </w:t>
      </w:r>
      <w:r>
        <w:t xml:space="preserve">KRS 18A.030(2)(b), 18A.110,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18A.110(7)(g) requires the secretary, with the approval of the Governor, to promulgate administrative regulations that govern annual leave, sick leave, special leaves of absence, and other conditions of leave. This administrative regulation establishes the leave requirements for 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jc w:val="center"/>
            </w:pPr>
            <w:r>
              <w:t xml:space="preserve">Months of Service</w:t>
            </w:r>
          </w:p>
        </w:tc>
        <w:tc>
          <w:tcPr/>
          <w:p>
            <w:pPr>
              <w:pStyle w:val="kar_table_cell"/>
              <w:jc w:val="center"/>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w:t>
      </w:r>
      <w:r>
        <w:rPr>
          <w:b/>
          <w:i/>
          <w:u w:val="single"/>
        </w:rPr>
        <w:t xml:space="preserve">shall</w:t>
      </w:r>
      <w:r>
        <w:t>[</w:t>
      </w:r>
      <w:r>
        <w:rPr>
          <w:b/>
          <w:i/>
          <w:strike w:val="true"/>
        </w:rPr>
        <w:t xml:space="preserve">does</w:t>
      </w:r>
      <w:r>
        <w:t>]</w:t>
      </w:r>
      <w:r>
        <w:t xml:space="preserve">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the leave shall be calculated as established in the following table:</w:t>
      </w:r>
    </w:p>
    <w:tbl>
      <w:tblPr>
        <w:tblStyle w:val="kar_table"/>
        <w:tblW w:w="0" w:type="auto"/>
      </w:tblPr>
      <w:tblGrid>
        <w:gridCol w:w="1"/>
        <w:gridCol w:w="1"/>
        <w:gridCol w:w="1"/>
        <w:gridCol w:w="1"/>
      </w:tblGrid>
      <w:tr>
        <w:tc>
          <w:tcPr/>
          <w:p>
            <w:pPr>
              <w:pStyle w:val="kar_table_cell"/>
              <w:jc w:val="center"/>
            </w:pPr>
            <w:r>
              <w:t xml:space="preserve">Months of Service</w:t>
            </w:r>
          </w:p>
        </w:tc>
        <w:tc>
          <w:tcPr/>
          <w:p>
            <w:pPr>
              <w:pStyle w:val="kar_table_cell"/>
              <w:jc w:val="center"/>
            </w:pPr>
            <w:r>
              <w:t xml:space="preserve">Maximum Amount</w:t>
            </w:r>
          </w:p>
        </w:tc>
        <w:tc>
          <w:tcPr/>
          <w:p>
            <w:pPr>
              <w:pStyle w:val="kar_table_cell"/>
              <w:jc w:val="center"/>
            </w:pPr>
            <w:r>
              <w:t xml:space="preserve">37.5 Hour Week Equivalent</w:t>
            </w:r>
          </w:p>
        </w:tc>
        <w:tc>
          <w:tcPr/>
          <w:p>
            <w:pPr>
              <w:pStyle w:val="kar_table_cell"/>
              <w:jc w:val="center"/>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 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120- 179 months</w:t>
            </w:r>
          </w:p>
        </w:tc>
        <w:tc>
          <w:tcPr/>
          <w:p>
            <w:pPr>
              <w:pStyle w:val="kar_table_cell"/>
            </w:pPr>
            <w:r>
              <w:t xml:space="preserve">45 work- 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180- 239 months</w:t>
            </w:r>
          </w:p>
        </w:tc>
        <w:tc>
          <w:tcPr/>
          <w:p>
            <w:pPr>
              <w:pStyle w:val="kar_table_cell"/>
            </w:pPr>
            <w:r>
              <w:t xml:space="preserve">52 work- 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 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w:t>
      </w:r>
      <w:r>
        <w:rPr>
          <w:u w:val="single"/>
        </w:rPr>
        <w:t xml:space="preserve">or terminated from initial probation other than for cause, </w:t>
      </w:r>
      <w:r>
        <w:t xml:space="preserve">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2:095 Section 6, or who has submitted notice of resignation or retirement after receiving an intent to dismiss letter.</w:t>
      </w:r>
      <w:r>
        <w:rPr>
          <w:u w:val="single"/>
        </w:rPr>
        <w:t xml:space="preserve">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w:t>
      </w:r>
      <w:r>
        <w:rPr>
          <w:b/>
          <w:i/>
          <w:u w:val="single"/>
        </w:rPr>
        <w:t xml:space="preserve">shall</w:t>
      </w:r>
      <w:r>
        <w:t>[</w:t>
      </w:r>
      <w:r>
        <w:rPr>
          <w:b/>
          <w:i/>
          <w:strike w:val="true"/>
        </w:rPr>
        <w:t xml:space="preserve">does</w:t>
      </w:r>
      <w:r>
        <w:t>]</w:t>
      </w:r>
      <w:r>
        <w:t xml:space="preserve">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with status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the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t>
      </w:r>
      <w:r>
        <w:rPr>
          <w:b/>
          <w:i/>
          <w:u w:val="single"/>
        </w:rPr>
        <w:t xml:space="preserve">shall</w:t>
      </w:r>
      <w:r>
        <w:t>[</w:t>
      </w:r>
      <w:r>
        <w:rPr>
          <w:b/>
          <w:i/>
          <w:strike w:val="true"/>
        </w:rPr>
        <w:t xml:space="preserve">will</w:t>
      </w:r>
      <w:r>
        <w:t>]</w:t>
      </w:r>
      <w:r>
        <w:t xml:space="preserve">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rPr>
          <w:u w:val="single"/>
        </w:rPr>
        <w:t xml:space="preserve">With prior notification to their supervisor, </w:t>
      </w:r>
      <w:r>
        <w:t xml:space="preserve">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the Kentucky Revised Statutes,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rPr>
          <w:u w:val="single"/>
        </w:rPr>
        <w:t xml:space="preserve">An employee's</w:t>
      </w:r>
      <w:r>
        <w:t>[</w:t>
      </w:r>
      <w:r>
        <w:rPr>
          <w:strike w:val="true"/>
        </w:rPr>
        <w:t xml:space="preserve">The</w:t>
      </w:r>
      <w:r>
        <w:t>]</w:t>
      </w:r>
      <w:r>
        <w:t xml:space="preserve"> election to receive compensatory leave in lieu of paid overtime shall be in writing on the Overtime Compensation Form and shall remain in force for a minimum of three (3) months. The </w:t>
      </w:r>
      <w:r>
        <w:rPr>
          <w:u w:val="single"/>
        </w:rPr>
        <w:t xml:space="preserve">employee's </w:t>
      </w:r>
      <w:r>
        <w:t xml:space="preserve">election shall be changed by the submission of a new form. The effective date of a change shall be the first day of the next work week following receipt of the election.</w:t>
      </w:r>
      <w:r>
        <w:rPr>
          <w:u w:val="single"/>
        </w:rPr>
        <w:t xml:space="preserve">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240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w:t>
      </w:r>
      <w:r>
        <w:rPr>
          <w:b/>
          <w:i/>
          <w:u w:val="single"/>
        </w:rPr>
        <w:t xml:space="preserve">If</w:t>
      </w:r>
      <w:r>
        <w:t>[</w:t>
      </w:r>
      <w:r>
        <w:rPr>
          <w:b/>
          <w:i/>
          <w:strike w:val="true"/>
        </w:rPr>
        <w:t xml:space="preserve">In the event</w:t>
      </w:r>
      <w:r>
        <w:t>]</w:t>
      </w:r>
      <w:r>
        <w:t xml:space="preserve"> a work week is split between pay periods, then the 240 hours of compensatory leave required for payment </w:t>
      </w:r>
      <w:r>
        <w:rPr>
          <w:b/>
          <w:i/>
          <w:u w:val="single"/>
        </w:rPr>
        <w:t xml:space="preserve">shall</w:t>
      </w:r>
      <w:r>
        <w:t>[</w:t>
      </w:r>
      <w:r>
        <w:rPr>
          <w:b/>
          <w:i/>
          <w:strike w:val="true"/>
        </w:rPr>
        <w:t xml:space="preserve">must</w:t>
      </w:r>
      <w:r>
        <w:t>]</w:t>
      </w:r>
      <w:r>
        <w:t xml:space="preserve">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w:t>
      </w:r>
      <w:r>
        <w:rPr>
          <w:u w:val="single"/>
        </w:rPr>
        <w:t xml:space="preserve"> by mail or in-person submission</w:t>
      </w:r>
      <w:r>
        <w:t xml:space="preserve">.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w:t>
      </w:r>
      <w:r>
        <w:rPr>
          <w:u w:val="single"/>
        </w:rPr>
        <w:t xml:space="preserve">,</w:t>
      </w:r>
      <w:r>
        <w:t xml:space="preserve"> or </w:t>
      </w:r>
      <w:r>
        <w:rPr>
          <w:b/>
          <w:i/>
          <w:u w:val="single"/>
        </w:rPr>
        <w:t xml:space="preserve">pending an investigation of </w:t>
      </w:r>
      <w:r>
        <w:t xml:space="preserve">an allegation of employee misconduct</w:t>
      </w:r>
      <w:r>
        <w:rPr>
          <w:u w:val="single"/>
        </w:rPr>
        <w:t xml:space="preserve">, lack of good behavior, or unsatisfactory performance of duties</w:t>
      </w:r>
      <w:r>
        <w:t xml:space="preserve">.</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an employee on administrative leave with pay upon the employee's receipt of an intent to dismiss letter as authorized by KRS 18A.095(2)(c).</w:t>
      </w:r>
    </w:p>
    <w:p>
      <w:pPr>
        <w:pStyle w:val="kar_subsection"/>
      </w:pPr>
      <w:r>
        <w:rPr>
          <w:u w:val="single"/>
        </w:rPr>
        <w:t xml:space="preserve">(5)</w:t>
      </w:r>
      <w:r>
        <w:t xml:space="preserve"> </w:t>
      </w:r>
      <w:r>
        <w:rPr>
          <w:u w:val="single"/>
        </w:rPr>
        <w:t xml:space="preserve">Discretionary leave with pay.</w:t>
      </w:r>
    </w:p>
    <w:p>
      <w:pPr>
        <w:pStyle w:val="kar_paragraph"/>
      </w:pPr>
      <w:r>
        <w:rPr>
          <w:u w:val="single"/>
        </w:rPr>
        <w:t xml:space="preserve">(a)</w:t>
      </w:r>
      <w:r>
        <w:t xml:space="preserve"> </w:t>
      </w:r>
      <w:r>
        <w:rPr>
          <w:u w:val="single"/>
        </w:rP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rPr>
          <w:u w:val="single"/>
        </w:rPr>
        <w:t xml:space="preserve">(b)</w:t>
      </w:r>
      <w:r>
        <w:t xml:space="preserve"> </w:t>
      </w:r>
      <w:r>
        <w:rPr>
          <w:u w:val="single"/>
        </w:rPr>
        <w:t xml:space="preserve">Reasons for discretionary leave with pay are limited to work-related events.</w:t>
      </w:r>
    </w:p>
    <w:p>
      <w:pPr>
        <w:pStyle w:val="kar_paragraph"/>
      </w:pPr>
      <w:r>
        <w:rPr>
          <w:u w:val="single"/>
        </w:rPr>
        <w:t xml:space="preserve">(c)</w:t>
      </w:r>
      <w:r>
        <w:t xml:space="preserve"> </w:t>
      </w:r>
      <w:r>
        <w:rPr>
          <w:u w:val="single"/>
        </w:rPr>
        <w:t xml:space="preserve">An appointing authority, with approval of the secretary, may renew discretionary leave with pay, not to exceed an additional twenty (20) working days.</w:t>
      </w:r>
    </w:p>
    <w:p>
      <w:pPr>
        <w:pStyle w:val="kar_paragraph"/>
      </w:pPr>
      <w:r>
        <w:rPr>
          <w:u w:val="single"/>
        </w:rPr>
        <w:t xml:space="preserve">(d)</w:t>
      </w:r>
      <w:r>
        <w:t xml:space="preserve"> </w:t>
      </w:r>
      <w:r>
        <w:rPr>
          <w:u w:val="single"/>
        </w:rPr>
        <w:t xml:space="preserve">Leave granted pursuant to this subsection may be taken intermittently if authorized by the appointing authority.</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w:t>
      </w:r>
      <w:r>
        <w:rPr>
          <w:u w:val="single"/>
        </w:rPr>
        <w:t xml:space="preserve">(4)</w:t>
      </w:r>
      <w:r>
        <w:t>[</w:t>
      </w:r>
      <w:r>
        <w:rPr>
          <w:strike w:val="true"/>
        </w:rPr>
        <w:t xml:space="preserve">(3)</w:t>
      </w:r>
      <w:r>
        <w:t>]</w:t>
      </w:r>
      <w:r>
        <w:t xml:space="preserve"> and </w:t>
      </w:r>
      <w:r>
        <w:rPr>
          <w:u w:val="single"/>
        </w:rPr>
        <w:t xml:space="preserve">(5)</w:t>
      </w:r>
      <w:r>
        <w:t>[</w:t>
      </w:r>
      <w:r>
        <w:rPr>
          <w:strike w:val="true"/>
        </w:rPr>
        <w:t xml:space="preserve">(4)</w:t>
      </w:r>
      <w:r>
        <w:t>]</w:t>
      </w:r>
      <w:r>
        <w:t xml:space="preserve">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rPr>
          <w:u w:val="single"/>
        </w:rP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rPr>
          <w:u w:val="single"/>
        </w:rPr>
        <w:t xml:space="preserve">(4)</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rPr>
          <w:u w:val="single"/>
        </w:rPr>
        <w:t xml:space="preserve">(5)</w:t>
      </w:r>
      <w:r>
        <w:t>[</w:t>
      </w:r>
      <w:r>
        <w:rPr>
          <w:strike w:val="true"/>
        </w:rPr>
        <w:t xml:space="preserve">(4)</w:t>
      </w:r>
      <w:r>
        <w:t>]</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w:t>
      </w:r>
      <w:r>
        <w:rPr>
          <w:u w:val="single"/>
        </w:rPr>
        <w:t xml:space="preserve">123 calendar days</w:t>
      </w:r>
      <w:r>
        <w:t>[</w:t>
      </w:r>
      <w:r>
        <w:rPr>
          <w:strike w:val="true"/>
        </w:rPr>
        <w:t xml:space="preserve">four (4) months</w:t>
      </w:r>
      <w:r>
        <w:t>]</w:t>
      </w:r>
      <w:r>
        <w:t xml:space="preserve"> of the occurrence of the absence. If it is not made up within </w:t>
      </w:r>
      <w:r>
        <w:rPr>
          <w:u w:val="single"/>
        </w:rPr>
        <w:t xml:space="preserve">123 calendar days</w:t>
      </w:r>
      <w:r>
        <w:t>[</w:t>
      </w:r>
      <w:r>
        <w:rPr>
          <w:strike w:val="true"/>
        </w:rPr>
        <w:t xml:space="preserve">four (4) months</w:t>
      </w:r>
      <w:r>
        <w:t>]</w:t>
      </w:r>
      <w:r>
        <w:t xml:space="preserve">,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rPr>
          <w:u w:val="single"/>
        </w:rPr>
        <w:t xml:space="preserve">(6)</w:t>
      </w:r>
      <w:r>
        <w:t>[</w:t>
      </w:r>
      <w:r>
        <w:rPr>
          <w:strike w:val="true"/>
        </w:rPr>
        <w:t xml:space="preserve">(5)</w:t>
      </w:r>
      <w:r>
        <w:t>]</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w:t>
      </w:r>
      <w:r>
        <w:rPr>
          <w:u w:val="single"/>
        </w:rPr>
        <w:t xml:space="preserve">scheduled work</w:t>
      </w:r>
      <w:r>
        <w:t>[</w:t>
      </w:r>
      <w:r>
        <w:rPr>
          <w:strike w:val="true"/>
        </w:rPr>
        <w:t xml:space="preserve">regular working</w:t>
      </w:r>
      <w:r>
        <w:t>]</w:t>
      </w:r>
      <w:r>
        <w:t xml:space="preserve">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rPr>
          <w:u w:val="single"/>
        </w:rPr>
        <w:t xml:space="preserve">(5)</w:t>
      </w:r>
      <w:r>
        <w:t xml:space="preserve"> </w:t>
      </w:r>
      <w:r>
        <w:rPr>
          <w:u w:val="single"/>
        </w:rPr>
        <w:t xml:space="preserve">A donation initiated or attempted during an employee's lunch period is outside of scheduled work hours and shall not qualify for any amount of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r>
        <w:rPr>
          <w:u w:val="single"/>
        </w:rPr>
        <w:t xml:space="preserve"> The material incorporated by reference is also available on the Personnel Cabinet's Web site on the Documents in Demand page at: https://personnel.ky.gov/.</w:t>
      </w:r>
    </w:p>
    <w:p>
      <w:pPr>
        <w:pStyle w:val="kar_normal"/>
      </w:pPr>
      <w:r>
        <w:t xml:space="preserve"/>
      </w:r>
    </w:p>
    <w:p>
      <w:pPr>
        <w:pStyle w:val="kar_filed"/>
      </w:pPr>
      <w:r>
        <w:t xml:space="preserve">FILED WITH LRC: August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Rosemary Holbrook, Assistant General Counsel, Office of Legal Services, 501 High Street, 3rd floor, Frankfort, Kentucky 40601, phone (502) 564-7430, fax (502) 564-0224, email RosemaryG.Holbrook@ky.gov.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26453c6b5c45ad" /><Relationship Type="http://schemas.openxmlformats.org/officeDocument/2006/relationships/settings" Target="/word/settings.xml" Id="R9166e71fe57f4cf7" /></Relationships>
</file>