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40fee1f6674fd1" /></Relationships>
</file>

<file path=word/document.xml><?xml version="1.0" encoding="utf-8"?>
<w:document xmlns:w="http://schemas.openxmlformats.org/wordprocessingml/2006/main">
  <w:body>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newly appointed employee may receive a two (2) percent salary adjustment, not to exceed the midpoint, for each year of appropriate experience and education or training in excess of the minimum requirements for the respective classification.</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that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revert to the previous amount prior to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 may request a reclassification of a regular status employee 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or</w:t>
      </w:r>
    </w:p>
    <w:p>
      <w:pPr>
        <w:pStyle w:val="kar_paragraph"/>
      </w:pPr>
      <w:r>
        <w:t xml:space="preserve">(b)</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 and</w:t>
      </w:r>
    </w:p>
    <w:p>
      <w:pPr>
        <w:pStyle w:val="kar_paragraph"/>
      </w:pPr>
      <w:r>
        <w:t xml:space="preserve">(b)</w:t>
      </w:r>
      <w:r>
        <w:t xml:space="preserve"> </w:t>
      </w:r>
      <w:r>
        <w:t xml:space="preserve">Have not previously performed the primary duties of the new classification.</w:t>
      </w:r>
    </w:p>
    <w:p>
      <w:pPr>
        <w:pStyle w:val="kar_subsection"/>
      </w:pPr>
      <w:r>
        <w:t xml:space="preserve">(4)</w:t>
      </w:r>
      <w:r>
        <w:t xml:space="preserve"> </w:t>
      </w:r>
      <w:r>
        <w:t xml:space="preserve">An employee that is reclassified with or without probation to a position having a higher pay grade shall receive a salary increase that is the higher of:</w:t>
      </w:r>
    </w:p>
    <w:p>
      <w:pPr>
        <w:pStyle w:val="kar_paragraph"/>
      </w:pPr>
      <w:r>
        <w:t xml:space="preserve">(a)</w:t>
      </w:r>
      <w:r>
        <w:t xml:space="preserve"> </w:t>
      </w:r>
      <w:r>
        <w:t xml:space="preserve">Five (5) percent of the employee's current salary;</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grade assigned to the new position.</w:t>
      </w:r>
    </w:p>
    <w:p>
      <w:pPr>
        <w:pStyle w:val="kar_subsection"/>
      </w:pPr>
      <w:r>
        <w:t xml:space="preserve">(5)</w:t>
      </w:r>
      <w:r>
        <w:t xml:space="preserve"> </w:t>
      </w:r>
      <w:r>
        <w:t xml:space="preserve">A reclassified employee shallserve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three (3) percent salary increase at the end of the probationary period.</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three (3) percent salary increase following satisfactory completion of the probationary period, as documented by the performance evaluation; or</w:t>
      </w:r>
    </w:p>
    <w:p>
      <w:pPr>
        <w:pStyle w:val="kar_paragraph"/>
      </w:pPr>
      <w:r>
        <w:t xml:space="preserve">(b)</w:t>
      </w:r>
      <w:r>
        <w:t xml:space="preserve"> </w:t>
      </w:r>
      <w:r>
        <w:t xml:space="preserve">If the employee was promoted while serving an initial probation, the employee shall receive a five (5) percent increment in salary instead of a three (3) percent increase.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(1)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 </w:t>
      </w:r>
    </w:p>
    <w:p>
      <w:pPr>
        <w:pStyle w:val="kar_paragraph"/>
      </w:pPr>
      <w:r>
        <w:t xml:space="preserve">(a)</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paragraph"/>
      </w:pPr>
      <w:r>
        <w:t xml:space="preserve">(b)</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 and</w:t>
      </w:r>
    </w:p>
    <w:p>
      <w:pPr>
        <w:pStyle w:val="kar_subsection"/>
      </w:pPr>
      <w:r>
        <w:t xml:space="preserve">(3)</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of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$1,000;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t xml:space="preserve">An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 five (5) percent.</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for a regular status employee in classified service 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annually.</w:t>
      </w:r>
    </w:p>
    <w:p>
      <w:pPr>
        <w:pStyle w:val="kar_subsection"/>
      </w:pPr>
      <w:r>
        <w:t xml:space="preserve">(2)</w:t>
      </w:r>
      <w:r>
        <w:t xml:space="preserve"> </w:t>
      </w:r>
      <w:r>
        <w:t xml:space="preserve">The Board of Health may grant a salary increase for a regular status public health director or administrator who has demonstrated, based on the current performance evaluation, excellent performance and achievement. The increase shall be limited to one (1) increase annually.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2763; 20 Ky.R. 369; 513; eff. 9-3-1993; 21 Ky.R. 582; 1324; eff. 10-19-1994; 22 Ky.R. 1156; eff. 2-12-1996; 24 Ky.R. 2194; 25 Ky.R. 108; 568; eff. 8-19-1998; 27 Ky.R. 2252; 2807; eff. 4-9-2001; 32 Ky.R. 976; 1662; eff. 3-9-2006; 37 Ky.R.1769; 2163; eff. 4-1-2011; 46 Ky.R. 1701; eff. 2-27-2020; 48 Ky.R. 3076; 49 Ky.R. 571;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ea5f3d7f6d4f47" /><Relationship Type="http://schemas.openxmlformats.org/officeDocument/2006/relationships/settings" Target="/word/settings.xml" Id="R127c3ca535124dc9" /></Relationships>
</file>