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662f5f24c74053"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Workers’ Claims</w:t>
      </w:r>
    </w:p>
    <w:p>
      <w:pPr>
        <w:pStyle w:val="kar_markup_header"/>
        <w:ind w:firstLine="0"/>
      </w:pPr>
      <w:r>
        <w:t>(Emergency Amended at ARRS Committee)</w:t>
      </w:r>
    </w:p>
    <w:p>
      <w:pPr>
        <w:pStyle w:val="kar_citation"/>
      </w:pPr>
      <w:r>
        <w:t>803 KAR 25:089E.</w:t>
      </w:r>
      <w:r>
        <w:t xml:space="preserve"> </w:t>
      </w:r>
      <w:r>
        <w:t xml:space="preserve">Workers' compensation medical fee schedule for physicians.</w:t>
      </w:r>
    </w:p>
    <w:p>
      <w:pPr>
        <w:pStyle w:val="kar_markup_metadata"/>
      </w:pPr>
      <w:r>
        <w:t xml:space="preserve">EFFECTIVE: September 13, 2022</w:t>
      </w:r>
    </w:p>
    <w:p>
      <w:pPr>
        <w:pStyle w:val="kar_e_prior_header"/>
      </w:pPr>
      <w:r>
        <w:t xml:space="preserve">Prior Versions:</w:t>
      </w:r>
    </w:p>
    <w:p>
      <w:pPr>
        <w:pStyle w:val="kar_e_prior_versions"/>
      </w:pPr>
      <w:r>
        <w:t xml:space="preserve">Emergency Amendment: 49 Ky.R. 284</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Pursuant to KRS 342.035, a schedule of fees is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w:t>
      </w:r>
      <w:r>
        <w:rPr>
          <w:u w:val="single"/>
        </w:rPr>
        <w:t xml:space="preserve">2022 Kentucky Workers' Compensation Schedule of Fees for Physicians</w:t>
      </w:r>
      <w:r>
        <w:t>[</w:t>
      </w:r>
      <w:r>
        <w:rPr>
          <w:strike w:val="true"/>
        </w:rPr>
        <w:t xml:space="preserve">2020 Kentucky Workers' Compensation Schedule of Fees for Physicians</w:t>
      </w:r>
      <w:r>
        <w:t>]</w:t>
      </w:r>
      <w:r>
        <w:t xml:space="preserve">.</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w:t>
      </w:r>
      <w:r>
        <w:rPr>
          <w:u w:val="single"/>
        </w:rPr>
        <w:t xml:space="preserve">2022</w:t>
      </w:r>
      <w:r>
        <w:t>[</w:t>
      </w:r>
      <w:r>
        <w:rPr>
          <w:strike w:val="true"/>
        </w:rPr>
        <w:t xml:space="preserve">2020</w:t>
      </w:r>
      <w:r>
        <w:t>]</w:t>
      </w:r>
      <w:r>
        <w:t xml:space="preserve">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listed shall be determined and calculated in accordance with numerical paragraph six (6)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4.</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be subject to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rPr>
          <w:u w:val="single"/>
        </w:rPr>
        <w:t xml:space="preserve">"2022 Kentucky Workers' Compensation Schedule of Fees for Physicians", July 1, 2022 Edition</w:t>
      </w:r>
      <w:r>
        <w:t>[</w:t>
      </w:r>
      <w:r>
        <w:rPr>
          <w:strike w:val="true"/>
        </w:rPr>
        <w:t xml:space="preserve">"2020 Kentucky Workers' Compensation Schedule of Fees for Physicians", July 1, 2020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rPr>
          <w:b/>
          <w:i/>
          <w:u w:val="single"/>
        </w:rPr>
        <w:t xml:space="preserve">(3)</w:t>
      </w:r>
      <w:r>
        <w:t xml:space="preserve"> </w:t>
      </w:r>
      <w:r>
        <w:rPr>
          <w:b/>
          <w:i/>
          <w:u w:val="single"/>
        </w:rPr>
        <w:t xml:space="preserve">This material may also be obtained from or through</w:t>
      </w:r>
      <w:r>
        <w:rPr>
          <w:b/>
          <w:i/>
          <w:u w:val="single"/>
        </w:rPr>
        <w:t xml:space="preserve">https://labor.ky.gov/comp/Pages/Medical-Services.aspx#Physician_Fee_Schedule.</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 Dale Hamblin, Jr., Assistant General Counsel, Workers’ Claims Legal Division, Mayo-Underwood Building, 3rd Floor, 500 Mero Street, Frankfort, Kentucky 40601, phone (502) 782-4404, fax (502) 564-0681, email Dale.Hamblin@ky.gov.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188ecfcc3e47d2" /><Relationship Type="http://schemas.openxmlformats.org/officeDocument/2006/relationships/settings" Target="/word/settings.xml" Id="Rbd0c36b64cf7405d" /></Relationships>
</file>