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0c1e9252e4509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Pharmacy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2:015.</w:t>
      </w:r>
      <w:r>
        <w:t xml:space="preserve"> </w:t>
      </w:r>
      <w:r>
        <w:t xml:space="preserve">Continuing education.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rPr>
          <w:b/>
          <w:i/>
          <w:u w:val="single"/>
        </w:rPr>
        <w:t xml:space="preserve">315.010, </w:t>
      </w:r>
      <w:r>
        <w:t xml:space="preserve">315.065, 315.120</w:t>
      </w:r>
      <w:r>
        <w:rPr>
          <w:b/>
          <w:i/>
          <w:u w:val="single"/>
        </w:rPr>
        <w:t xml:space="preserve">, 315.121</w:t>
      </w:r>
    </w:p>
    <w:p>
      <w:pPr>
        <w:pStyle w:val="kar_markup_metadata"/>
      </w:pPr>
      <w:r>
        <w:t xml:space="preserve">STATUTORY AUTHORITY: </w:t>
      </w:r>
      <w:r>
        <w:t xml:space="preserve">KRS 315.065, 315.110(1), 315.191(1)</w:t>
      </w:r>
    </w:p>
    <w:p>
      <w:pPr>
        <w:pStyle w:val="kar_markup_metadata"/>
      </w:pPr>
      <w:r>
        <w:t xml:space="preserve">NECESSITY, FUNCTION, AND CONFORMITY: </w:t>
      </w:r>
      <w:r>
        <w:t xml:space="preserve">KRS 315.065(2) and (3) </w:t>
      </w:r>
      <w:r>
        <w:rPr>
          <w:b/>
          <w:i/>
          <w:u w:val="single"/>
        </w:rPr>
        <w:t xml:space="preserve">require</w:t>
      </w:r>
      <w:r>
        <w:t>[</w:t>
      </w:r>
      <w:r>
        <w:rPr>
          <w:b/>
          <w:i/>
          <w:strike w:val="true"/>
          <w:u w:val="single"/>
        </w:rPr>
        <w:t xml:space="preserve">requires</w:t>
      </w:r>
      <w:r>
        <w:t>]</w:t>
      </w:r>
      <w:r>
        <w:t>[</w:t>
      </w:r>
      <w:r>
        <w:rPr>
          <w:strike w:val="true"/>
        </w:rPr>
        <w:t xml:space="preserve">require</w:t>
      </w:r>
      <w:r>
        <w:t>]</w:t>
      </w:r>
      <w:r>
        <w:t xml:space="preserve"> the Board of Pharmacy to establish continuing education requirements for pharmacists. This administrative regulation establishes requirements for the continuing pharmacy education of registered pharmacists and requires all registered pharmacists holding a license issued by the board to participate in continuing pharmacy education as a means of renewal of their licenses.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"Continuing education unit" or "CEU" is defined by KRS 315.010</w:t>
      </w:r>
      <w:r>
        <w:rPr>
          <w:b/>
          <w:i/>
          <w:u w:val="single"/>
        </w:rPr>
        <w:t xml:space="preserve">(8)</w:t>
      </w:r>
      <w:r>
        <w:t>[</w:t>
      </w:r>
      <w:r>
        <w:rPr>
          <w:b/>
          <w:i/>
          <w:strike w:val="true"/>
          <w:u w:val="single"/>
        </w:rPr>
        <w:t xml:space="preserve">(7)</w:t>
      </w:r>
      <w:r>
        <w:t>]</w:t>
      </w:r>
      <w:r>
        <w:t>[</w:t>
      </w:r>
      <w:r>
        <w:rPr>
          <w:strike w:val="true"/>
        </w:rPr>
        <w:t xml:space="preserve">(8)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"Sponsor" means a person, school, association, company, corporation, or group who wishes to develop a continuing education program.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Continuing education hours for credit shall be relevant to the practice of pharmacy and free of commercial bias.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Continuing education hours shall be approved if approved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Accreditation Council for Pharmacy Education (ACPE);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board.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Continuing education sponsors shall submit an Application for Provider CE Approval to the board: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At least sixty (60) days prior to the presentation date, if pre-approval is sought;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Between sixty (60) days prior and thirty (30) days after the presentation date, if pre-approval is not sought.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Program changes shall be submitted to and approved by the board, or the approval of the program shall be void.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Continuing education credit shall be given only once for each program per participant.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Sponsors shall retain a file of each participant's program completion for three (3) years.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Board approval of each program shall expire three (3) years after the date of approval.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Pharmacists requesting approval of individually obtained continuing pharmacy education shall submit an Application for Pharmacist CE Approval to the board within thirty (30) days of completion of the educational presentation.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board shall notify the requesting pharmacist whether the application request has been approved or denied.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Continuing education that has not been approved by ACPE or the board shall not be used to meet continuing education requirements for renewal or issuance of a license.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pharmacist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Complete a minimum of one and five-tenths (1.5) CEU (fifteen (15) contact hours) annually between January 1 and December 31;</w:t>
      </w:r>
      <w:r>
        <w:t>[</w:t>
      </w:r>
      <w:r>
        <w:rPr>
          <w:b/>
          <w:i/>
          <w:strike w:val="true"/>
        </w:rPr>
        <w:t xml:space="preserve"> and</w:t>
      </w:r>
      <w:r>
        <w:t>]</w:t>
      </w:r>
    </w:p>
    <w:p>
      <w:pPr>
        <w:pStyle w:val="kar_paragraph"/>
      </w:pPr>
      <w:r>
        <w:t xml:space="preserve">(b)</w:t>
      </w:r>
      <w:r>
        <w:t xml:space="preserve"> </w:t>
      </w:r>
      <w:r>
        <w:rPr>
          <w:u w:val="single"/>
        </w:rPr>
        <w:t xml:space="preserve">For licensing years 2023 through 2028, one (1) contact hour of the fifteen (15) contact hours shall be on the opioid epidemic or opioid use disorder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  <w:u w:val="single"/>
        </w:rPr>
        <w:t xml:space="preserve">.</w:t>
      </w:r>
      <w:r>
        <w:t>]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t xml:space="preserve">Not transfer or apply excess hours or units for future years.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pharmacist may be granted a deferral on a year-to-year basis at the </w:t>
      </w:r>
      <w:r>
        <w:rPr>
          <w:b/>
          <w:i/>
          <w:u w:val="single"/>
        </w:rPr>
        <w:t xml:space="preserve">determination</w:t>
      </w:r>
      <w:r>
        <w:t>[</w:t>
      </w:r>
      <w:r>
        <w:rPr>
          <w:b/>
          <w:i/>
          <w:strike w:val="true"/>
        </w:rPr>
        <w:t xml:space="preserve">discretion</w:t>
      </w:r>
      <w:r>
        <w:t>]</w:t>
      </w:r>
      <w:r>
        <w:t xml:space="preserve"> of the board for illness, incapacity, or other extenuating circumstances.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pharmacist first licensed by the board within twelve (12) months immediately preceding the annual renewal date shall be exempt from the continuing pharmacy education provisions for that year.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Pharmacists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Keep valid records, receipts, and certifications of continuing pharmacy education programs completed for three (3) years;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Submit that documentation to the board </w:t>
      </w:r>
      <w:r>
        <w:rPr>
          <w:b/>
          <w:i/>
          <w:u w:val="single"/>
        </w:rPr>
        <w:t xml:space="preserve">upon</w:t>
      </w:r>
      <w:r>
        <w:t>[</w:t>
      </w:r>
      <w:r>
        <w:rPr>
          <w:b/>
          <w:i/>
          <w:strike w:val="true"/>
          <w:u w:val="single"/>
        </w:rPr>
        <w:t xml:space="preserve">on</w:t>
      </w:r>
      <w:r>
        <w:t>]</w:t>
      </w:r>
      <w:r>
        <w:t>[</w:t>
      </w:r>
      <w:r>
        <w:rPr>
          <w:strike w:val="true"/>
        </w:rPr>
        <w:t xml:space="preserve">upon</w:t>
      </w:r>
      <w:r>
        <w:t>]</w:t>
      </w:r>
      <w:r>
        <w:t xml:space="preserve"> request.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Submission of a fraudulent statement or certificate concerning continuing pharmacy education shall subject the pharmacist to discipline as provided in KRS 315.121.</w:t>
      </w:r>
    </w:p>
    <w:p>
      <w:pPr>
        <w:pStyle w:val="kar_section"/>
      </w:pPr>
      <w:r>
        <w:t xml:space="preserve">Section 6.</w:t>
      </w:r>
      <w:r>
        <w:t xml:space="preserve"> </w:t>
      </w:r>
      <w:r>
        <w:rPr>
          <w:b/>
          <w:i/>
          <w:u w:val="single"/>
        </w:rPr>
        <w:t xml:space="preserve">Each pharmacist</w:t>
      </w:r>
      <w:r>
        <w:t>[</w:t>
      </w:r>
      <w:r>
        <w:rPr>
          <w:b/>
          <w:i/>
          <w:strike w:val="true"/>
        </w:rPr>
        <w:t xml:space="preserve">All pharmacists</w:t>
      </w:r>
      <w:r>
        <w:t>]</w:t>
      </w:r>
      <w:r>
        <w:t xml:space="preserve"> shall keep the board informed of </w:t>
      </w:r>
      <w:r>
        <w:rPr>
          <w:b/>
          <w:i/>
          <w:u w:val="single"/>
        </w:rPr>
        <w:t xml:space="preserve">the pharmacist's</w:t>
      </w:r>
      <w:r>
        <w:t>[</w:t>
      </w:r>
      <w:r>
        <w:rPr>
          <w:b/>
          <w:i/>
          <w:strike w:val="true"/>
        </w:rPr>
        <w:t xml:space="preserve">their</w:t>
      </w:r>
      <w:r>
        <w:t>]</w:t>
      </w:r>
      <w:r>
        <w:t xml:space="preserve"> correct </w:t>
      </w:r>
      <w:r>
        <w:rPr>
          <w:u w:val="single"/>
        </w:rPr>
        <w:t xml:space="preserve">address</w:t>
      </w:r>
      <w:r>
        <w:t>[</w:t>
      </w:r>
      <w:r>
        <w:rPr>
          <w:strike w:val="true"/>
        </w:rPr>
        <w:t xml:space="preserve">addresses</w:t>
      </w:r>
      <w:r>
        <w:t>]</w:t>
      </w:r>
      <w:r>
        <w:t xml:space="preserve">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CEU may be transferred from another state to Kentucky if the transfer state recognizes Kentucky CEU.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A licensee who failed to timely renew his or her license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Comply with the applicable provisions of KRS 315.120(2) or (3);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fifteen (15) hours of continuing education for each year the applicant failed to renew his or her license, up to a maximum of seventy-five (75) hours.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</w:t>
      </w:r>
      <w:r>
        <w:rPr>
          <w:b/>
          <w:i/>
          <w:u w:val="single"/>
        </w:rPr>
        <w:t xml:space="preserve"> following material is incorporated by reference:</w:t>
      </w:r>
    </w:p>
    <w:p>
      <w:pPr>
        <w:pStyle w:val="kar_paragraph"/>
      </w:pPr>
      <w:r>
        <w:rPr>
          <w:b/>
          <w:i/>
          <w:u w:val="single"/>
        </w:rPr>
        <w:t xml:space="preserve">(a)</w:t>
      </w:r>
      <w:r>
        <w:t xml:space="preserve"> </w:t>
      </w:r>
      <w:r>
        <w:t>[</w:t>
      </w:r>
      <w:r>
        <w:rPr>
          <w:strike w:val="true"/>
        </w:rPr>
        <w:t xml:space="preserve">following material is incorporated by reference: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 xml:space="preserve">"Application for Provider CE Approval", June 2018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  <w:u w:val="single"/>
        </w:rPr>
        <w:t xml:space="preserve">, is incorporated by reference</w:t>
      </w:r>
      <w:r>
        <w:t>]</w:t>
      </w:r>
      <w:r>
        <w:t>[</w:t>
      </w:r>
      <w:r>
        <w:rPr>
          <w:strike w:val="true"/>
        </w:rPr>
        <w:t xml:space="preserve">; and</w:t>
      </w:r>
      <w:r>
        <w:t>]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paragraph"/>
      </w:pPr>
      <w:r>
        <w:rPr>
          <w:b/>
          <w:i/>
          <w:u w:val="single"/>
        </w:rPr>
        <w:t xml:space="preserve">(b)</w:t>
      </w:r>
      <w:r>
        <w:t>[</w:t>
      </w:r>
      <w:r>
        <w:rPr>
          <w:b/>
          <w:i/>
          <w:strike w:val="true"/>
          <w:u w:val="single"/>
        </w:rPr>
        <w:t xml:space="preserve">(2)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(b)</w:t>
      </w:r>
      <w:r>
        <w:t>]</w:t>
      </w:r>
      <w:r>
        <w:t>[</w:t>
      </w:r>
      <w:r>
        <w:rPr>
          <w:b/>
          <w:i/>
          <w:strike w:val="true"/>
          <w:u w:val="single"/>
        </w:rPr>
        <w:t xml:space="preserve">The </w:t>
      </w:r>
      <w:r>
        <w:t>]</w:t>
      </w:r>
      <w:r>
        <w:t xml:space="preserve">"Application for Pharmacist CE Approval", June 2018</w:t>
      </w:r>
      <w:r>
        <w:rPr>
          <w:b/>
          <w:i/>
          <w:u w:val="single"/>
        </w:rPr>
        <w:t xml:space="preserve">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t>[</w:t>
      </w:r>
      <w:r>
        <w:rPr>
          <w:b/>
          <w:i/>
          <w:strike w:val="true"/>
          <w:u w:val="single"/>
        </w:rPr>
        <w:t xml:space="preserve">, is incorporated by reference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t>[</w:t>
      </w:r>
      <w:r>
        <w:rPr>
          <w:b/>
          <w:i/>
          <w:strike w:val="true"/>
          <w:u w:val="single"/>
        </w:rPr>
        <w:t xml:space="preserve">(3)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(2)</w:t>
      </w:r>
      <w:r>
        <w:t>]</w:t>
      </w:r>
      <w:r>
        <w:t xml:space="preserve"> This material may be inspected, copied, or obtained, subject to applicable copyright law, at the Kentucky Board of Pharmacy, 125 Holmes Street, Suite 300, Frankfort, Kentucky 40601, Monday through Friday, 8 a.m. to 4:30 p.m.</w:t>
      </w:r>
      <w:r>
        <w:rPr>
          <w:b/>
          <w:i/>
          <w:u w:val="single"/>
        </w:rPr>
        <w:t xml:space="preserve"> This material is also available on the board's Web site at https://pharmacy.ky.gov/Forms/Pages/default.aspx.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September 13,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Christopher Harlow, Executive Director, Kentucky Board of Pharmacy, State Office Building Annex, Suite 300, 125 Holmes Street, Frankfort, Kentucky 40601; phone (502) 564-7910; fax (502) 696-3806; email christopher.harlow@ky.gov.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0aac5d4b1431d" /><Relationship Type="http://schemas.openxmlformats.org/officeDocument/2006/relationships/settings" Target="/word/settings.xml" Id="R44a3eeeaacf342a3" /></Relationships>
</file>