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46609bc9fa4e52"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4:141.</w:t>
      </w:r>
      <w:r>
        <w:t xml:space="preserve"> </w:t>
      </w:r>
      <w:r>
        <w:t xml:space="preserve">Submission of the federal postcard application via electronic mail.</w:t>
      </w:r>
    </w:p>
    <w:p>
      <w:pPr>
        <w:pStyle w:val="kar_markup_metadata"/>
      </w:pPr>
      <w:r>
        <w:t xml:space="preserve">RELATES TO: </w:t>
      </w:r>
      <w:r>
        <w:t xml:space="preserve">KRS 116.045(4)(e), 117.079, 117.085, 117A.030(4), 117A.050(3), 117A.060(3), 52 U.S.C. 20302(e)</w:t>
      </w:r>
    </w:p>
    <w:p>
      <w:pPr>
        <w:pStyle w:val="kar_markup_metadata"/>
      </w:pPr>
      <w:r>
        <w:t xml:space="preserve">STATUTORY AUTHORITY: </w:t>
      </w:r>
      <w:r>
        <w:t xml:space="preserve">KRS 116.045(4)(e), 117.079, 117.086(1)</w:t>
      </w:r>
      <w:r>
        <w:rPr>
          <w:b/>
          <w:i/>
          <w:u w:val="single"/>
        </w:rPr>
        <w:t xml:space="preserve">(b)</w:t>
      </w:r>
      <w:r>
        <w:t xml:space="preserve">, 52 U.S.C. 20302(e)</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116.045(4)(e) authorizes the State Board of Elections to approve methods of registration for any person to register to vote or change his or her party affiliation. KRS 117.086(1)</w:t>
      </w:r>
      <w:r>
        <w:rPr>
          <w:b/>
          <w:i/>
          <w:u w:val="single"/>
        </w:rPr>
        <w:t xml:space="preserve">(b)</w:t>
      </w:r>
      <w:r>
        <w:t xml:space="preserve"> authorizes the board to promulgate administrative regulations establishing security requirements for the transmission of voted absentee ballots. This administrative regulation authorizes covered voters to submit federal postcard applications via electronic mail and establishes the procedures for the county clerk to follow when a federal postcard application is submitted via electronic mail.</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w:t>
      </w:r>
      <w:r>
        <w:rPr>
          <w:b/>
          <w:i/>
          <w:u w:val="single"/>
        </w:rPr>
        <w:t xml:space="preserve">:</w:t>
      </w:r>
    </w:p>
    <w:p>
      <w:pPr>
        <w:pStyle w:val="kar_paragraph"/>
      </w:pPr>
      <w:r>
        <w:rPr>
          <w:b/>
          <w:i/>
          <w:u w:val="single"/>
        </w:rPr>
        <w:t xml:space="preserve">(a)</w:t>
      </w:r>
      <w:r>
        <w:t xml:space="preserve"> </w:t>
      </w:r>
      <w:r>
        <w:t xml:space="preserve">Defined by KRS 117A.010(3)</w:t>
      </w:r>
      <w:r>
        <w:rPr>
          <w:b/>
          <w:i/>
          <w:u w:val="single"/>
        </w:rPr>
        <w:t xml:space="preserve">; and</w:t>
      </w:r>
    </w:p>
    <w:p>
      <w:pPr>
        <w:pStyle w:val="kar_paragraph"/>
      </w:pPr>
      <w:r>
        <w:rPr>
          <w:b/>
          <w:i/>
          <w:u w:val="single"/>
        </w:rPr>
        <w:t xml:space="preserve">(b)</w:t>
      </w:r>
      <w:r>
        <w:t xml:space="preserve"> </w:t>
      </w:r>
      <w:r>
        <w:rPr>
          <w:b/>
          <w:i/>
          <w:u w:val="single"/>
        </w:rPr>
        <w:t xml:space="preserve">Incorporated by reference in 31 KAR 4:131</w:t>
      </w:r>
      <w:r>
        <w:t xml:space="preserve">.</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County Clerk's Electronic Mailing Address. The county clerk shall use the county clerk's electronic mailing address provided or recognized by the Kentucky Department of Transportation to send to and receive from covered voters: voter registration applications, military-overseas ballot applications, military-overseas ballots, and related voting, balloting, and election information.</w:t>
      </w:r>
    </w:p>
    <w:p>
      <w:pPr>
        <w:pStyle w:val="kar_section"/>
      </w:pPr>
      <w:r>
        <w:t xml:space="preserve">Section 3.</w:t>
      </w:r>
      <w:r>
        <w:t xml:space="preserve"> </w:t>
      </w:r>
      <w:r>
        <w:t xml:space="preserve">Federal Postcard Applications Submitted Via Electronic Mail.</w:t>
      </w:r>
    </w:p>
    <w:p>
      <w:pPr>
        <w:pStyle w:val="kar_subsection"/>
      </w:pPr>
      <w:r>
        <w:t xml:space="preserve">(1)</w:t>
      </w:r>
      <w:r>
        <w:t xml:space="preserve"> </w:t>
      </w:r>
      <w:r>
        <w:t xml:space="preserve">A covered voter may submit a federal postcard application to the county clerk via electronic mail to register, reregister, and to apply for a military-overseas ballot.</w:t>
      </w:r>
    </w:p>
    <w:p>
      <w:pPr>
        <w:pStyle w:val="kar_subsection"/>
      </w:pPr>
      <w:r>
        <w:t xml:space="preserve">(2)</w:t>
      </w:r>
      <w:r>
        <w:t xml:space="preserve"> </w:t>
      </w:r>
      <w:r>
        <w:t xml:space="preserve">The county clerk shall treat a federal postcard application submitted by a covered voter via electronic mail in the same manner as a federal postcard application submitted via the electronic transmission system established under KRS 117A.030(4).</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8745e470904d8f" /><Relationship Type="http://schemas.openxmlformats.org/officeDocument/2006/relationships/settings" Target="/word/settings.xml" Id="R9d1315887bbd4528" /></Relationships>
</file>