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f2c9a1cbfc4dc0" /></Relationships>
</file>

<file path=word/document.xml><?xml version="1.0" encoding="utf-8"?>
<w:document xmlns:w="http://schemas.openxmlformats.org/wordprocessingml/2006/main">
  <w:body>
    <w:p>
      <w:pPr>
        <w:pStyle w:val="kar_citation"/>
      </w:pPr>
      <w:r>
        <w:t>31 KAR 4:201.</w:t>
      </w:r>
      <w:r>
        <w:t xml:space="preserve"> </w:t>
      </w:r>
      <w:r>
        <w:t xml:space="preserve">Chain of custody for records during an election contest.</w:t>
      </w:r>
    </w:p>
    <w:p>
      <w:pPr>
        <w:pStyle w:val="kar_markup_metadata"/>
      </w:pPr>
      <w:r>
        <w:t xml:space="preserve">RELATES TO: </w:t>
      </w:r>
      <w:r>
        <w:t xml:space="preserve">KRS 120.205, 120.215</w:t>
      </w:r>
    </w:p>
    <w:p>
      <w:pPr>
        <w:pStyle w:val="kar_markup_metadata"/>
      </w:pPr>
      <w:r>
        <w:t xml:space="preserve">STATUTORY AUTHORITY: </w:t>
      </w:r>
      <w:r>
        <w:t xml:space="preserve">KRS 117.015(1)(a), 120.205, 120.215</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120.205 and KRS 120.215 require the State Board of Elections to promulgate administrative regulations to provide for a form that documents any individuals transporting all voting equipment, ballots, boxes, precinct rosters, and other voting records related to an election contest involving an election of a Governor and Lieutenant Governor or a member of the General Assembly. This administrative regulation establishes that form.</w:t>
      </w:r>
    </w:p>
    <w:p>
      <w:pPr>
        <w:pStyle w:val="kar_section"/>
      </w:pPr>
      <w:r>
        <w:t xml:space="preserve">Section 1.</w:t>
      </w:r>
      <w:r>
        <w:t xml:space="preserve"> </w:t>
      </w:r>
      <w:r>
        <w:t xml:space="preserve">If a board is established under KRS 120.205 or KRS 120.215 to try a contested election of a Governor and Lieutenant Governor or a member of the General Assembly, the possession of all components of a voting system, ballots, ballot boxes, precinct rosters, and any other voting records sent for by the board shall not transfer unless the transfer is:</w:t>
      </w:r>
    </w:p>
    <w:p>
      <w:pPr>
        <w:pStyle w:val="kar_subsection"/>
      </w:pPr>
      <w:r>
        <w:t xml:space="preserve">(1)</w:t>
      </w:r>
      <w:r>
        <w:t xml:space="preserve"> </w:t>
      </w:r>
      <w:r>
        <w:t xml:space="preserve">Documented in writing on Form SBE 75, Election Contest Chain-of-Custody; and</w:t>
      </w:r>
    </w:p>
    <w:p>
      <w:pPr>
        <w:pStyle w:val="kar_subsection"/>
      </w:pPr>
      <w:r>
        <w:t xml:space="preserve">(2)</w:t>
      </w:r>
      <w:r>
        <w:t xml:space="preserve"> </w:t>
      </w:r>
      <w:r>
        <w:t xml:space="preserve">In compliance with the directions on the form.</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"Election Contest Chain-of-Custody", Form SBE 75, 08/2022,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is also available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3118; 49 Ky.R. 1030;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7a0f22b1c7434b" /><Relationship Type="http://schemas.openxmlformats.org/officeDocument/2006/relationships/settings" Target="/word/settings.xml" Id="R660dd10506c5421e" /></Relationships>
</file>