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6bb68a0adc4a18" /></Relationships>
</file>

<file path=word/document.xml><?xml version="1.0" encoding="utf-8"?>
<w:document xmlns:w="http://schemas.openxmlformats.org/wordprocessingml/2006/main">
  <w:body>
    <w:p>
      <w:pPr>
        <w:pStyle w:val="kar_citation"/>
      </w:pPr>
      <w:r>
        <w:t>201 KAR 9:305.</w:t>
      </w:r>
      <w:r>
        <w:t xml:space="preserve"> </w:t>
      </w:r>
      <w:r>
        <w:t xml:space="preserve">Continued licensure of athletic trainers.</w:t>
      </w:r>
    </w:p>
    <w:p>
      <w:pPr>
        <w:pStyle w:val="kar_markup_metadata"/>
      </w:pPr>
      <w:r>
        <w:t xml:space="preserve">RELATES TO: </w:t>
      </w:r>
      <w:r>
        <w:t xml:space="preserve">KRS 311.901(1), 311.905(2), 311.909(1)(o)</w:t>
      </w:r>
    </w:p>
    <w:p>
      <w:pPr>
        <w:pStyle w:val="kar_markup_metadata"/>
      </w:pPr>
      <w:r>
        <w:t xml:space="preserve">STATUTORY AUTHORITY: </w:t>
      </w:r>
      <w:r>
        <w:t xml:space="preserve">KRS 311.901(1)</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 and continuing education requirements. This administrative regulation establishes the continuing education requirements for the continued licensure of athletic trainers.</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pPr>
      <w:r>
        <w:t xml:space="preserve">Section 2.</w:t>
      </w:r>
      <w:r>
        <w:t xml:space="preserve"> </w:t>
      </w:r>
      <w:r>
        <w:t xml:space="preserve"> An athletic trainer licensed to practice in the Commonwealth of Kentucky shall complete six (6) CEUs during each three (3) year renewal cycle beginning with the renewal cycle that ends on June 30, 2015. </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211; Am. 996; eff. 9-24-1991; 40 Ky.R. 2591; 41 Ky.R. 12; eff. 8-1-2014; 42 Ky.R. 460; 1464; eff. 11-18-2015; 49 Ky.R. 369, 1041;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e40f4bb744796" /><Relationship Type="http://schemas.openxmlformats.org/officeDocument/2006/relationships/settings" Target="/word/settings.xml" Id="Rb900e100537b42ed" /></Relationships>
</file>