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0a854555e5eb4d9d"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Kentucky Board of Medical Licensure</w:t>
      </w:r>
    </w:p>
    <w:p>
      <w:pPr>
        <w:pStyle w:val="kar_markup_header"/>
        <w:ind w:firstLine="0"/>
      </w:pPr>
      <w:r>
        <w:t>(Amended at ARRS Committee)</w:t>
      </w:r>
    </w:p>
    <w:p>
      <w:pPr>
        <w:pStyle w:val="kar_citation"/>
      </w:pPr>
      <w:r>
        <w:t>201 KAR 9:305.</w:t>
      </w:r>
      <w:r>
        <w:t xml:space="preserve"> </w:t>
      </w:r>
      <w:r>
        <w:t xml:space="preserve">Continued licensure of athletic trainers.</w:t>
      </w:r>
    </w:p>
    <w:p>
      <w:pPr>
        <w:pStyle w:val="kar_markup_metadata"/>
      </w:pPr>
      <w:r>
        <w:t xml:space="preserve">RELATES TO: </w:t>
      </w:r>
      <w:r>
        <w:t xml:space="preserve">KRS </w:t>
      </w:r>
      <w:r>
        <w:t xml:space="preserve">[</w:t>
      </w:r>
      <w:r>
        <w:rPr>
          <w:strike w:val="true"/>
        </w:rPr>
        <w:t xml:space="preserve">214.610, </w:t>
      </w:r>
      <w:r>
        <w:t xml:space="preserve">]</w:t>
      </w:r>
      <w:r>
        <w:t xml:space="preserve">311.901(1), 311.905(2), 311.909(1)(o)</w:t>
      </w:r>
    </w:p>
    <w:p>
      <w:pPr>
        <w:pStyle w:val="kar_markup_metadata"/>
      </w:pPr>
      <w:r>
        <w:t xml:space="preserve">STATUTORY AUTHORITY: </w:t>
      </w:r>
      <w:r>
        <w:t xml:space="preserve">KRS </w:t>
      </w:r>
      <w:r>
        <w:t xml:space="preserve">[</w:t>
      </w:r>
      <w:r>
        <w:rPr>
          <w:strike w:val="true"/>
        </w:rPr>
        <w:t xml:space="preserve">214.610(1), </w:t>
      </w:r>
      <w:r>
        <w:t xml:space="preserve">]</w:t>
      </w:r>
      <w:r>
        <w:t xml:space="preserve">311.901(1)</w:t>
      </w:r>
    </w:p>
    <w:p>
      <w:pPr>
        <w:pStyle w:val="kar_markup_metadata"/>
      </w:pPr>
      <w:r>
        <w:t xml:space="preserve">NECESSITY, FUNCTION, AND CONFORMITY: </w:t>
      </w:r>
      <w:r>
        <w:t xml:space="preserve">KRS 311.901(1) requires the Kentucky Board of Medical Licensure to promulgate administrative regulations relating to the licensure and regulation of athletic trainers and </w:t>
      </w:r>
      <w:r>
        <w:t xml:space="preserve">[</w:t>
      </w:r>
      <w:r>
        <w:rPr>
          <w:strike w:val="true"/>
        </w:rPr>
        <w:t xml:space="preserve">requires </w:t>
      </w:r>
      <w:r>
        <w:t xml:space="preserve">]</w:t>
      </w:r>
      <w:r>
        <w:t xml:space="preserve">continuing education </w:t>
      </w:r>
      <w:r>
        <w:rPr>
          <w:u w:val="single"/>
        </w:rPr>
        <w:t xml:space="preserve">requirements</w:t>
      </w:r>
      <w:r>
        <w:rPr>
          <w:b/>
          <w:i/>
          <w:u w:val="single"/>
        </w:rPr>
        <w:t xml:space="preserve">. This administrative regulation establishes the continuing education requirements for the continued licensure of athletic trainers</w:t>
      </w:r>
      <w:r>
        <w:t xml:space="preserve">[</w:t>
      </w:r>
      <w:r>
        <w:rPr>
          <w:strike w:val="true"/>
        </w:rPr>
        <w:t xml:space="preserve">courses on the transmission, control, treatment, and prevention of the human immunodeficiency virus and acquired immunodeficiency syndrome. This administrative regulation establishes the criteria for the continued licensure of athletic trainers</w:t>
      </w:r>
      <w:r>
        <w:t xml:space="preserve">]</w:t>
      </w:r>
      <w:r>
        <w:t xml:space="preserve">.</w:t>
      </w:r>
    </w:p>
    <w:p>
      <w:pPr>
        <w:pStyle w:val="kar_section"/>
      </w:pPr>
      <w:r>
        <w:t xml:space="preserve">Section 1.</w:t>
      </w:r>
      <w:r>
        <w:t xml:space="preserve"> </w:t>
      </w:r>
      <w:r>
        <w:t xml:space="preserve">Definition. "CEU" means the completion of ten (10) hours of educational courses approved by the:</w:t>
      </w:r>
    </w:p>
    <w:p>
      <w:pPr>
        <w:pStyle w:val="kar_subsection"/>
      </w:pPr>
      <w:r>
        <w:t xml:space="preserve">(1)</w:t>
      </w:r>
      <w:r>
        <w:t xml:space="preserve"> </w:t>
      </w:r>
      <w:r>
        <w:t xml:space="preserve">Kentucky Board of Medical Licensure; or</w:t>
      </w:r>
    </w:p>
    <w:p>
      <w:pPr>
        <w:pStyle w:val="kar_subsection"/>
      </w:pPr>
      <w:r>
        <w:t xml:space="preserve">(2)</w:t>
      </w:r>
      <w:r>
        <w:t xml:space="preserve"> </w:t>
      </w:r>
      <w:r>
        <w:t xml:space="preserve">Board of Certification, Inc.</w:t>
      </w:r>
    </w:p>
    <w:p>
      <w:pPr>
        <w:pStyle w:val="kar_section"/>
      </w:pPr>
      <w:r>
        <w:t xml:space="preserve">Section 2.</w:t>
      </w:r>
      <w:r>
        <w:t xml:space="preserve"> </w:t>
      </w:r>
      <w:r>
        <w:t xml:space="preserve"> </w:t>
      </w:r>
    </w:p>
    <w:p>
      <w:pPr>
        <w:pStyle w:val="kar_subsection"/>
      </w:pPr>
      <w:r>
        <w:t xml:space="preserve">[</w:t>
      </w:r>
      <w:r>
        <w:rPr>
          <w:strike w:val="true"/>
        </w:rPr>
        <w:t xml:space="preserve">(1)</w:t>
      </w:r>
      <w:r>
        <w:t xml:space="preserve">]</w:t>
      </w:r>
      <w:r>
        <w:t xml:space="preserve"> </w:t>
      </w:r>
      <w:r>
        <w:t xml:space="preserve">An athletic trainer licensed to practice in the Commonwealth of Kentucky shall complete six (6) CEUs during each three (3) year renewal cycle beginning with the renewal cycle that ends on June 30, 2015.</w:t>
      </w:r>
    </w:p>
    <w:p>
      <w:pPr>
        <w:pStyle w:val="kar_subsection"/>
      </w:pPr>
      <w:r>
        <w:t xml:space="preserve">[</w:t>
      </w:r>
      <w:r>
        <w:rPr>
          <w:strike w:val="true"/>
        </w:rPr>
        <w:t xml:space="preserve">(2)</w:t>
      </w:r>
      <w:r>
        <w:t xml:space="preserve">]</w:t>
      </w:r>
      <w:r>
        <w:t xml:space="preserve"> </w:t>
      </w:r>
      <w:r>
        <w:t xml:space="preserve"> </w:t>
      </w:r>
    </w:p>
    <w:p>
      <w:pPr>
        <w:pStyle w:val="kar_paragraph"/>
      </w:pPr>
      <w:r>
        <w:t xml:space="preserve">[</w:t>
      </w:r>
      <w:r>
        <w:rPr>
          <w:strike w:val="true"/>
        </w:rPr>
        <w:t xml:space="preserve">(a)</w:t>
      </w:r>
      <w:r>
        <w:t xml:space="preserve">]</w:t>
      </w:r>
      <w:r>
        <w:t xml:space="preserve"> </w:t>
      </w:r>
      <w:r>
        <w:t xml:space="preserve">[</w:t>
      </w:r>
      <w:r>
        <w:rPr>
          <w:strike w:val="true"/>
        </w:rPr>
        <w:t xml:space="preserve">Upon initial licensure or within the first three (3) year renewal cycle from initial licensure, each licensee shall complete an educational course approved by the Cabinet for Health and Family Services on the transmission, control, treatment, and prevention of the human immunodeficiency virus HIV/AIDS.</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The hours required by paragraph (a) of this subsection shall be counted as part of the six (6) CEUs required by subsection (1) of this section for the three (3) year renewal cycle during which the HIV/AIDS course was completed.</w:t>
      </w:r>
      <w:r>
        <w:t xml:space="preserve">]</w:t>
      </w:r>
    </w:p>
    <w:p>
      <w:pPr>
        <w:pStyle w:val="kar_normal"/>
      </w:pPr>
      <w:r>
        <w:t xml:space="preserve"/>
      </w:r>
    </w:p>
    <w:p>
      <w:pPr>
        <w:pStyle w:val="kar_filed"/>
      </w:pPr>
      <w:r>
        <w:t xml:space="preserve">FILED WITH LRC: October 11, 2022</w:t>
      </w:r>
    </w:p>
    <w:p>
      <w:pPr>
        <w:pStyle w:val="kar_normal"/>
      </w:pPr>
      <w:r>
        <w:t xml:space="preserve"/>
      </w:r>
    </w:p>
    <w:p>
      <w:pPr>
        <w:pStyle w:val="kar_contact_person"/>
        <w:sectPr>
          <w:pgSz w:w="12240" w:h="15840" w:orient="portrait" w:code="1"/>
          <w:pgMar w:top="1080" w:right="1080" w:bottom="1080" w:left="1080" w:header="720" w:footer="720" w:gutter="0"/>
          <w:paperSrc w:first="263" w:other="263"/>
          <w:noEndnote/>
          <w:docGrid w:linePitch="218"/>
        </w:sectPr>
      </w:pPr>
      <w:r>
        <w:t xml:space="preserve">CONTACT PERSON: Leanne K. Diakov, General Counsel, Kentucky Board of Medical Licensure, 310 Whittington Parkway, Suite 1B, Louisville, Kentucky 40222, phone (502) 429-7150, fax (502) 429-7118, email leanne.diakov@ky.gov.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cc46327db5aa48cd" /><Relationship Type="http://schemas.openxmlformats.org/officeDocument/2006/relationships/settings" Target="/word/settings.xml" Id="R79f4dd26d57440b8" /></Relationships>
</file>