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95e569f90b46c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w:t>
      </w:r>
      <w:r>
        <w:rPr>
          <w:b/>
          <w:i/>
          <w:u w:val="single"/>
        </w:rPr>
        <w:t xml:space="preserve">317.070, </w:t>
      </w:r>
      <w:r>
        <w:t xml:space="preserve">317A.145</w:t>
      </w:r>
    </w:p>
    <w:p>
      <w:pPr>
        <w:pStyle w:val="kar_markup_metadata"/>
      </w:pPr>
      <w:r>
        <w:t xml:space="preserve">NECESSITY, FUNCTION, AND CONFORMITY: </w:t>
      </w:r>
      <w:r>
        <w:t xml:space="preserve">KRS 317A.145 authorizes the board to investigate complaints and, where appropriate, take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writing received </w:t>
      </w:r>
      <w:r>
        <w:rPr>
          <w:u w:val="single"/>
        </w:rPr>
        <w:t xml:space="preserve">or initiated </w:t>
      </w:r>
      <w:r>
        <w:t xml:space="preserve">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no more than two (2) board members to review complaints, initiate investigations, participate in informal proceedings to resolve complaints, and make recommendations to the board for disposition of complaints. The board staff and board counsel may assist the committee.</w:t>
      </w:r>
    </w:p>
    <w:p>
      <w:pPr>
        <w:pStyle w:val="kar_section"/>
      </w:pPr>
      <w:r>
        <w:t xml:space="preserve">Section 3.</w:t>
      </w:r>
      <w:r>
        <w:t xml:space="preserve"> </w:t>
      </w:r>
      <w:r>
        <w:t xml:space="preserve">Complaint Procedures.</w:t>
      </w:r>
    </w:p>
    <w:p>
      <w:pPr>
        <w:pStyle w:val="kar_subsection"/>
      </w:pPr>
      <w:r>
        <w:t xml:space="preserve">(1)</w:t>
      </w:r>
      <w:r>
        <w:t xml:space="preserve"> </w:t>
      </w:r>
      <w:r>
        <w:t xml:space="preserve">Complaints shall be submitted on the board's Complaint Form, signed by the person making the complaint, and describe with sufficient detail the alleged violation(s) of KRS Chapter 317A, or 201 KAR Chapter 12. The Complaint Form shall be made available on the board's Web site at http://kbc.ky.gov.</w:t>
      </w:r>
    </w:p>
    <w:p>
      <w:pPr>
        <w:pStyle w:val="kar_subsection"/>
      </w:pPr>
      <w:r>
        <w:t xml:space="preserve">(2)</w:t>
      </w:r>
      <w:r>
        <w:t xml:space="preserve"> </w:t>
      </w:r>
      <w:r>
        <w:t xml:space="preserve">A copy of the complaint shall be provided to the respondent. The respondent shall have ten (10) days from the date of receipt to submit a written response. The complaints committee or the </w:t>
      </w:r>
      <w:r>
        <w:rPr>
          <w:u w:val="single"/>
        </w:rPr>
        <w:t xml:space="preserve">executive director</w:t>
      </w:r>
      <w:r>
        <w:t>[</w:t>
      </w:r>
      <w:r>
        <w:rPr>
          <w:strike w:val="true"/>
        </w:rPr>
        <w:t xml:space="preserve">board administrator</w:t>
      </w:r>
      <w:r>
        <w:t>]</w:t>
      </w:r>
      <w:r>
        <w:t xml:space="preserve"> may extend these timelines as appropriate.</w:t>
      </w:r>
    </w:p>
    <w:p>
      <w:pPr>
        <w:pStyle w:val="kar_subsection"/>
      </w:pPr>
      <w:r>
        <w:t xml:space="preserve">(3)</w:t>
      </w:r>
      <w:r>
        <w:t xml:space="preserve"> </w:t>
      </w:r>
      <w:r>
        <w:t xml:space="preserve">The complaint committee shall meet </w:t>
      </w:r>
      <w:r>
        <w:rPr>
          <w:u w:val="single"/>
        </w:rPr>
        <w:t xml:space="preserve">at regular intervals</w:t>
      </w:r>
      <w:r>
        <w:t>[</w:t>
      </w:r>
      <w:r>
        <w:rPr>
          <w:strike w:val="true"/>
        </w:rPr>
        <w:t xml:space="preserve">once a month</w:t>
      </w:r>
      <w:r>
        <w:t>]</w:t>
      </w:r>
      <w:r>
        <w:t xml:space="preserve">. A complaint </w:t>
      </w:r>
      <w:r>
        <w:rPr>
          <w:u w:val="single"/>
        </w:rPr>
        <w:t xml:space="preserve">and any written response </w:t>
      </w:r>
      <w:r>
        <w:t xml:space="preserve">shall arrive ten (10) days prior to the meeting to meet </w:t>
      </w:r>
      <w:r>
        <w:rPr>
          <w:u w:val="single"/>
        </w:rPr>
        <w:t xml:space="preserve">the</w:t>
      </w:r>
      <w:r>
        <w:t>[</w:t>
      </w:r>
      <w:r>
        <w:rPr>
          <w:strike w:val="true"/>
        </w:rPr>
        <w:t xml:space="preserve">that month's</w:t>
      </w:r>
      <w:r>
        <w:t>]</w:t>
      </w:r>
      <w:r>
        <w:t xml:space="preserve"> deadline for making a recommendation to the board. The complaint committee shall review the complaint, the response, and any other relevant information or material available, and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or</w:t>
      </w:r>
    </w:p>
    <w:p>
      <w:pPr>
        <w:pStyle w:val="kar_paragraph"/>
      </w:pPr>
      <w:r>
        <w:t xml:space="preserve">(d)</w:t>
      </w:r>
      <w:r>
        <w:t xml:space="preserve"> </w:t>
      </w:r>
      <w:r>
        <w:t xml:space="preserve">Issue a notice of disciplinary action informing the respondent of</w:t>
      </w:r>
      <w:r>
        <w:t>[</w:t>
      </w:r>
      <w:r>
        <w:rPr>
          <w:b/>
          <w:i/>
          <w:strike w:val="true"/>
        </w:rPr>
        <w:t xml:space="preserve"> the following</w:t>
      </w:r>
      <w:r>
        <w:t>]</w:t>
      </w:r>
      <w:r>
        <w:t xml:space="preserve">:</w:t>
      </w:r>
    </w:p>
    <w:p>
      <w:pPr>
        <w:pStyle w:val="kar_subparagraph"/>
      </w:pPr>
      <w:r>
        <w:t xml:space="preserve">1.</w:t>
      </w:r>
      <w:r>
        <w:t xml:space="preserve"> </w:t>
      </w:r>
      <w:r>
        <w:t xml:space="preserve">The statute(s) or administrative regulation(s)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w:t>
      </w:r>
    </w:p>
    <w:p>
      <w:pPr>
        <w:pStyle w:val="kar_subsection"/>
      </w:pPr>
      <w:r>
        <w:t xml:space="preserve">(4)</w:t>
      </w:r>
      <w:r>
        <w:t xml:space="preserve"> </w:t>
      </w:r>
      <w:r>
        <w:t xml:space="preserve">A written admonishment shall not be considered disciplinary action by the board, but may be considered in any subsequent disciplinary action against the licensee or permittee. A copy of the written admonishment shall be placed in the licensee or permittee's file at the board office.</w:t>
      </w:r>
    </w:p>
    <w:p>
      <w:pPr>
        <w:pStyle w:val="kar_subsection"/>
      </w:pPr>
      <w:r>
        <w:t xml:space="preserve">(5)</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t xml:space="preserve">(6)</w:t>
      </w:r>
      <w:r>
        <w:t xml:space="preserve"> </w:t>
      </w:r>
      <w: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its complaints committee or counsel, may, at any time during this process,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days of the date of the board's notice that it intends to refuse to issue or renew a license or permit, to deny, suspend, probate, or revoke a license or permit, or to impose </w:t>
      </w:r>
      <w:r>
        <w:rPr>
          <w:u w:val="single"/>
        </w:rPr>
        <w:t xml:space="preserve">discipline</w:t>
      </w:r>
      <w:r>
        <w:t>[</w:t>
      </w:r>
      <w:r>
        <w:rPr>
          <w:strike w:val="true"/>
        </w:rPr>
        <w:t xml:space="preserve">a fine</w:t>
      </w:r>
      <w:r>
        <w:t>]</w:t>
      </w:r>
      <w:r>
        <w:t xml:space="preserv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w:t>
      </w:r>
      <w:r>
        <w:rPr>
          <w:u w:val="single"/>
        </w:rPr>
        <w:t xml:space="preserve">July 2022</w:t>
      </w:r>
      <w:r>
        <w:t>[</w:t>
      </w:r>
      <w:r>
        <w:rPr>
          <w:strike w:val="true"/>
        </w:rPr>
        <w:t xml:space="preserve">April 2018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Kentucky Board of Cosmetology, </w:t>
      </w:r>
      <w:r>
        <w:rPr>
          <w:u w:val="single"/>
        </w:rPr>
        <w:t xml:space="preserve">1049 US Hwy 127 S. Annex #2,</w:t>
      </w:r>
      <w:r>
        <w:t>[</w:t>
      </w:r>
      <w:r>
        <w:rPr>
          <w:strike w:val="true"/>
        </w:rPr>
        <w:t xml:space="preserve">111 St. James Court, Suite A,</w:t>
      </w:r>
      <w:r>
        <w:t>]</w:t>
      </w:r>
      <w:r>
        <w:t xml:space="preserve"> Frankfort Kentucky 40601, Monday through Friday, 8 a.m. to 4:30 p.m.</w:t>
      </w:r>
      <w:r>
        <w:rPr>
          <w:b/>
          <w:i/>
          <w:u w:val="single"/>
        </w:rPr>
        <w:t xml:space="preserve"> or on the board's Web site at http://kbc.ky.gov.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M. Campbell, Executive Director, 1049 US Hwy 127 S. Annex #2, Frankfort, Kentucky 40601, (502) 564-4262, email julie.campbell@ky.gov.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a515fe54e146ee" /><Relationship Type="http://schemas.openxmlformats.org/officeDocument/2006/relationships/settings" Target="/word/settings.xml" Id="Ra7d143c10dd640c3" /></Relationships>
</file>