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f0ed1dafcb4c22" /></Relationships>
</file>

<file path=word/document.xml><?xml version="1.0" encoding="utf-8"?>
<w:document xmlns:w="http://schemas.openxmlformats.org/wordprocessingml/2006/main">
  <w:body>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 for which a charge is customarily billed separately from the per diem rate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Laboratory procedures; or</w:t>
      </w:r>
    </w:p>
    <w:p>
      <w:pPr>
        <w:pStyle w:val="kar_subparagraph"/>
      </w:pPr>
      <w:r>
        <w:t xml:space="preserve">2.</w:t>
      </w:r>
      <w:r>
        <w:t xml:space="preserve"> </w:t>
      </w:r>
      <w:r>
        <w:t xml:space="preserve">X-rays.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RUG III, M3 p1, (version 5.20) thirty-four (34) group model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#5200 model of the Marshall &amp; Swift Boeckh Building Valuation System (BVS) 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thirty (30)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t xml:space="preserve">Seven (7) dollars per square foot for a wood frame;</w:t>
      </w:r>
    </w:p>
    <w:p>
      <w:pPr>
        <w:pStyle w:val="kar_subclause"/>
      </w:pPr>
      <w:r>
        <w:t xml:space="preserve">(ii)</w:t>
      </w:r>
      <w:r>
        <w:t xml:space="preserve"> </w:t>
      </w:r>
      <w:r>
        <w:t xml:space="preserve">Eight (8) dollars per square foot for a steel frame; or</w:t>
      </w:r>
    </w:p>
    <w:p>
      <w:pPr>
        <w:pStyle w:val="kar_subclause"/>
      </w:pPr>
      <w:r>
        <w:t xml:space="preserve">(iii)</w:t>
      </w:r>
      <w:r>
        <w:t xml:space="preserve"> </w:t>
      </w:r>
      <w:r>
        <w:t xml:space="preserve">Twenty (20)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$1,500 for each fully-functioning door at the time of appraisal);</w:t>
      </w:r>
    </w:p>
    <w:p>
      <w:pPr>
        <w:pStyle w:val="kar_subparagraph"/>
      </w:pPr>
      <w:r>
        <w:t xml:space="preserve">5.</w:t>
      </w:r>
      <w:r>
        <w:t xml:space="preserve"> </w:t>
      </w:r>
      <w:r>
        <w:t xml:space="preserve">A door with a sound detector or sensing unit shall have a standard allowance of $500 per door;</w:t>
      </w:r>
    </w:p>
    <w:p>
      <w:pPr>
        <w:pStyle w:val="kar_subparagraph"/>
      </w:pPr>
      <w:r>
        <w:t xml:space="preserve">6.</w:t>
      </w:r>
      <w:r>
        <w:t xml:space="preserve"> </w:t>
      </w:r>
      <w:r>
        <w:t xml:space="preserve">Automatic sliding doors (the standard allowance shall be $17,000 per doorway);</w:t>
      </w:r>
    </w:p>
    <w:p>
      <w:pPr>
        <w:pStyle w:val="kar_subparagraph"/>
      </w:pPr>
      <w:r>
        <w:t xml:space="preserve">7.</w:t>
      </w:r>
      <w:r>
        <w:t xml:space="preserve"> </w:t>
      </w:r>
      <w:r>
        <w:t xml:space="preserve">An automatic door opener shall have a standard allowance of $6,500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fifty-six (56)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$2,100 per floor serviced);</w:t>
      </w:r>
    </w:p>
    <w:p>
      <w:pPr>
        <w:pStyle w:val="kar_subparagraph"/>
      </w:pPr>
      <w:r>
        <w:t xml:space="preserve">12.</w:t>
      </w:r>
      <w:r>
        <w:t xml:space="preserve"> </w:t>
      </w:r>
      <w:r>
        <w:t xml:space="preserve">Dumb waiters (which shall have a minimum speed of fifty (50) feet per minute. The standard allowance shall be $8,000 for the initial two (2) stops for a manual door or $21,000 for the initial two (2) stops for an electric door and $7,000 per additional stop);</w:t>
      </w:r>
    </w:p>
    <w:p>
      <w:pPr>
        <w:pStyle w:val="kar_subparagraph"/>
      </w:pPr>
      <w:r>
        <w:t xml:space="preserve">13.</w:t>
      </w:r>
      <w:r>
        <w:t xml:space="preserve"> </w:t>
      </w:r>
      <w:r>
        <w:t xml:space="preserve">Skylights (the standard allowance shall be forty (40) dollars per square foot);</w:t>
      </w:r>
    </w:p>
    <w:p>
      <w:pPr>
        <w:pStyle w:val="kar_subparagraph"/>
      </w:pPr>
      <w:r>
        <w:t xml:space="preserve">14.</w:t>
      </w:r>
      <w:r>
        <w:t xml:space="preserve"> </w:t>
      </w:r>
      <w:r>
        <w:t xml:space="preserve">Operable built-in oxygen delivery systems (valued at $300 per serviced bed);</w:t>
      </w:r>
    </w:p>
    <w:p>
      <w:pPr>
        <w:pStyle w:val="kar_subparagraph"/>
      </w:pPr>
      <w:r>
        <w:t xml:space="preserve">15.</w:t>
      </w:r>
      <w:r>
        <w:t xml:space="preserve"> </w:t>
      </w:r>
      <w:r>
        <w:t xml:space="preserve">Carpeted wainscoting (the standard allowance shall be sixty (60)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$250 for each ceiling fan without a light and $400 for each ceiling fan with a light;</w:t>
      </w:r>
    </w:p>
    <w:p>
      <w:pPr>
        <w:pStyle w:val="kar_subparagraph"/>
      </w:pPr>
      <w:r>
        <w:t xml:space="preserve">18.</w:t>
      </w:r>
      <w:r>
        <w:t xml:space="preserve"> </w:t>
      </w:r>
      <w:r>
        <w:t xml:space="preserve">Cupolas for which the standard allowance shall be $720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twenty-five (25)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Marshall &amp; Swift Boeckh BVS model #5200 monetary limit unless a monetary limit is provided for that item in subsection (3)(z) of this section.</w:t>
      </w:r>
    </w:p>
    <w:p>
      <w:pPr>
        <w:pStyle w:val="kar_subsection"/>
      </w:pPr>
      <w:r>
        <w:t xml:space="preserve">(5)</w:t>
      </w:r>
      <w:r>
        <w:t xml:space="preserve"> </w:t>
      </w:r>
      <w:r>
        <w:t xml:space="preserve">The department shall use the corresponding Marshall &amp; Swift Boeckh BVS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Marshall &amp; Swift Boeckh BVS tables shall be used during an appraisal.</w:t>
      </w:r>
    </w:p>
    <w:p>
      <w:pPr>
        <w:pStyle w:val="kar_paragraph"/>
      </w:pPr>
      <w:r>
        <w:t xml:space="preserve">(b)</w:t>
      </w:r>
      <w:r>
        <w:t xml:space="preserve"> </w:t>
      </w:r>
      <w:r>
        <w:t xml:space="preserve">An adjustment calculation shall be performed if the most recent Marshall &amp; Swift Boeckh BVS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Marshall &amp; Swift Boeckh BVS model other than the nursing home or convalescent center #5200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 (b) of this subsection, and beginning in 2018, 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w:t>
      </w:r>
    </w:p>
    <w:p>
      <w:pPr>
        <w:pStyle w:val="kar_paragraph"/>
      </w:pPr>
      <w:r>
        <w:t xml:space="preserve">(b)</w:t>
      </w:r>
      <w:r>
        <w:t xml:space="preserve"> </w:t>
      </w:r>
      <w:r>
        <w:t xml:space="preserve"> </w:t>
      </w:r>
    </w:p>
    <w:p>
      <w:pPr>
        <w:pStyle w:val="kar_subparagraph"/>
      </w:pPr>
      <w:r>
        <w:t xml:space="preserve">1.</w:t>
      </w:r>
      <w:r>
        <w:t xml:space="preserve"> </w:t>
      </w:r>
      <w:r>
        <w:t xml:space="preserve">On July 7, 2017, the department shall utilize the most recent Federal Office of Management and Budget's core based statistical area (CBSA) designations to classify an NF as being in an urban or rural area, with metropolitan areas classified as urban. The urban and rural designations shall be based on the location of the NF under the CBSA designation.</w:t>
      </w:r>
    </w:p>
    <w:p>
      <w:pPr>
        <w:pStyle w:val="kar_subparagraph"/>
      </w:pPr>
      <w:r>
        <w:t xml:space="preserve">2.</w:t>
      </w:r>
      <w:r>
        <w:t xml:space="preserve"> </w:t>
      </w:r>
      <w:r>
        <w:t xml:space="preserve">On July 7, 2017, a change in designation from:</w:t>
      </w:r>
    </w:p>
    <w:p>
      <w:pPr>
        <w:pStyle w:val="kar_clause"/>
      </w:pPr>
      <w:r>
        <w:t xml:space="preserve">a.</w:t>
      </w:r>
      <w:r>
        <w:t xml:space="preserve"> </w:t>
      </w:r>
      <w:r>
        <w:t xml:space="preserve">Rural to urban shall take effect on July 1, 2017; and</w:t>
      </w:r>
    </w:p>
    <w:p>
      <w:pPr>
        <w:pStyle w:val="kar_clause"/>
      </w:pPr>
      <w:r>
        <w:t xml:space="preserve">b.</w:t>
      </w:r>
      <w:r>
        <w:t xml:space="preserve"> </w:t>
      </w:r>
      <w:r>
        <w:t xml:space="preserve">Urban to rural shall take effect July 1, 2018.</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2008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t xml:space="preserve">$88.05</w:t>
            </w:r>
          </w:p>
        </w:tc>
        <w:tc>
          <w:tcPr/>
          <w:p>
            <w:pPr>
              <w:pStyle w:val="kar_table_cell"/>
            </w:pPr>
            <w:r>
              <w:t xml:space="preserve">$62.80</w:t>
            </w:r>
          </w:p>
        </w:tc>
        <w:tc>
          <w:tcPr/>
          <w:p>
            <w:pPr>
              <w:pStyle w:val="kar_table_cell"/>
            </w:pPr>
            <w:r>
              <w:t xml:space="preserve">$150.85</w:t>
            </w:r>
          </w:p>
        </w:tc>
      </w:tr>
      <w:tr>
        <w:tc>
          <w:tcPr/>
          <w:p>
            <w:pPr>
              <w:pStyle w:val="kar_table_cell"/>
            </w:pPr>
            <w:r>
              <w:t xml:space="preserve">Rural</w:t>
            </w:r>
          </w:p>
        </w:tc>
        <w:tc>
          <w:tcPr/>
          <w:p>
            <w:pPr>
              <w:pStyle w:val="kar_table_cell"/>
            </w:pPr>
            <w:r>
              <w:t xml:space="preserve">$74.62</w:t>
            </w:r>
          </w:p>
        </w:tc>
        <w:tc>
          <w:tcPr/>
          <w:p>
            <w:pPr>
              <w:pStyle w:val="kar_table_cell"/>
            </w:pPr>
            <w:r>
              <w:t xml:space="preserve">$55.63</w:t>
            </w:r>
          </w:p>
        </w:tc>
        <w:tc>
          <w:tcPr/>
          <w:p>
            <w:pPr>
              <w:pStyle w:val="kar_table_cell"/>
            </w:pPr>
            <w:r>
              <w:t xml:space="preserve">$130.25</w:t>
            </w:r>
          </w:p>
        </w:tc>
      </w:tr>
    </w:tbl>
    <w:p>
      <w:pPr>
        <w:pStyle w:val="kar_subsection"/>
      </w:pPr>
      <w:r>
        <w:t xml:space="preserve">(8)</w:t>
      </w:r>
      <w:r>
        <w:t xml:space="preserve"> </w:t>
      </w:r>
      <w:r>
        <w:t xml:space="preserve">A price-based NF's standard price may be:</w:t>
      </w:r>
    </w:p>
    <w:p>
      <w:pPr>
        <w:pStyle w:val="kar_paragraph"/>
      </w:pPr>
      <w:r>
        <w:t xml:space="preserve">(a)</w:t>
      </w:r>
      <w:r>
        <w:t xml:space="preserve"> </w:t>
      </w:r>
      <w:r>
        <w:t xml:space="preserve">Adjusted for inflation every July 1; and</w:t>
      </w:r>
    </w:p>
    <w:p>
      <w:pPr>
        <w:pStyle w:val="kar_paragraph"/>
      </w:pPr>
      <w:r>
        <w:t xml:space="preserve">(b)</w:t>
      </w:r>
      <w:r>
        <w:t xml:space="preserve"> </w:t>
      </w:r>
      <w:r>
        <w:t xml:space="preserve">Rebased:</w:t>
      </w:r>
    </w:p>
    <w:p>
      <w:pPr>
        <w:pStyle w:val="kar_subparagraph"/>
      </w:pPr>
      <w:r>
        <w:t xml:space="preserve">1.</w:t>
      </w:r>
      <w:r>
        <w:t xml:space="preserve"> </w:t>
      </w:r>
      <w:r>
        <w:t xml:space="preserve">Effective July 1, 2024; and</w:t>
      </w:r>
    </w:p>
    <w:p>
      <w:pPr>
        <w:pStyle w:val="kar_subparagraph"/>
      </w:pPr>
      <w:r>
        <w:t xml:space="preserve">2.</w:t>
      </w:r>
      <w:r>
        <w:t xml:space="preserve"> </w:t>
      </w:r>
      <w:r>
        <w:t xml:space="preserve">At least once every four (4) years thereafter.</w:t>
      </w:r>
    </w:p>
    <w:p>
      <w:pPr>
        <w:pStyle w:val="kar_subsection"/>
      </w:pPr>
      <w:r>
        <w:t xml:space="preserve">(9)</w:t>
      </w:r>
      <w:r>
        <w:t xml:space="preserve"> </w:t>
      </w:r>
      <w:r>
        <w:t xml:space="preserve">Effective July 1, 2004, an NF shall not receive a rate less than its standard price.</w:t>
      </w:r>
    </w:p>
    <w:p>
      <w:pPr>
        <w:pStyle w:val="kar_subsection"/>
      </w:pPr>
      <w:r>
        <w:t xml:space="preserve">(10)</w:t>
      </w:r>
      <w:r>
        <w:t xml:space="preserve"> </w:t>
      </w:r>
      <w:r>
        <w:t xml:space="preserve">Effective July 1, 2022:</w:t>
      </w:r>
    </w:p>
    <w:p>
      <w:pPr>
        <w:pStyle w:val="kar_paragraph"/>
      </w:pPr>
      <w:r>
        <w:t xml:space="preserve">(a)</w:t>
      </w:r>
      <w:r>
        <w:t xml:space="preserve"> </w:t>
      </w:r>
      <w:r>
        <w:t xml:space="preserve">A nursing home relief reimbursement increase of twenty-nine (29) dollars shall be included in the noncase-mix adjustable portion of the per diem rate.</w:t>
      </w:r>
    </w:p>
    <w:p>
      <w:pPr>
        <w:pStyle w:val="kar_paragraph"/>
      </w:pPr>
      <w:r>
        <w:t xml:space="preserve">(b)</w:t>
      </w:r>
      <w:r>
        <w:t xml:space="preserve"> </w:t>
      </w:r>
      <w:r>
        <w:t xml:space="preserve">The nursing home relief reimbursement increase shall be included in the administration line of the calculation and shall not receive annual inflationary adjustments.</w:t>
      </w:r>
    </w:p>
    <w:p>
      <w:pPr>
        <w:pStyle w:val="kar_paragraph"/>
      </w:pPr>
      <w:r>
        <w:t xml:space="preserve">(c)</w:t>
      </w:r>
      <w:r>
        <w:t xml:space="preserve"> </w:t>
      </w:r>
      <w:r>
        <w:t xml:space="preserve">The nursing home relief reimbursement increase of twenty-nine (29) dollars shall continue until the standard price is rebased.</w:t>
      </w:r>
    </w:p>
    <w:p>
      <w:pPr>
        <w:pStyle w:val="kar_subsection"/>
      </w:pPr>
      <w:r>
        <w:t xml:space="preserve">(11)</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w:t>
      </w:r>
    </w:p>
    <w:p>
      <w:pPr>
        <w:pStyle w:val="kar_subparagraph"/>
      </w:pPr>
      <w:r>
        <w:t xml:space="preserve">1.</w:t>
      </w:r>
      <w:r>
        <w:t xml:space="preserve"> </w:t>
      </w:r>
      <w:r>
        <w:t xml:space="preserve">An allowance to offset a provider assessment; and</w:t>
      </w:r>
    </w:p>
    <w:p>
      <w:pPr>
        <w:pStyle w:val="kar_subparagraph"/>
      </w:pPr>
      <w:r>
        <w:t xml:space="preserve">2.</w:t>
      </w:r>
      <w:r>
        <w:t xml:space="preserve"> </w:t>
      </w:r>
      <w:r>
        <w:t xml:space="preserve">The nursing home relief reimbursement increase of twenty-nine (29) dollars;</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by the NF's total licensed NF beds; and</w:t>
      </w:r>
    </w:p>
    <w:p>
      <w:pPr>
        <w:pStyle w:val="kar_clause"/>
      </w:pPr>
      <w:r>
        <w:t xml:space="preserve">b.</w:t>
      </w:r>
      <w:r>
        <w:t xml:space="preserve"> </w:t>
      </w:r>
      <w:r>
        <w:t xml:space="preserve">Not exceed $56,003 effective July 1, 2016,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$56,003 effective July 1, 2016,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$56,003 effective July 1, 2016,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t xml:space="preserve">Minimum Data Set (MDS) 3.0, Resource Utilization Group (RUG) III,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2016, for the purpose of revision to MDS data extracted June 30, 2016, shall not be utilized;</w:t>
      </w:r>
    </w:p>
    <w:p>
      <w:pPr>
        <w:pStyle w:val="kar_paragraph"/>
      </w:pPr>
      <w:r>
        <w:t xml:space="preserve">(b)</w:t>
      </w:r>
      <w:r>
        <w:t xml:space="preserve"> </w:t>
      </w:r>
      <w:r>
        <w:t xml:space="preserve">Classify the data cited in paragraph (a) of this subsection through the RUG III, (M3 p1), version five point twenty (5.20) thirty-four (34) group or equivalent model resident classification system;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twenty-five (25)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 and</w:t>
      </w:r>
    </w:p>
    <w:p>
      <w:pPr>
        <w:pStyle w:val="kar_subparagraph"/>
      </w:pPr>
      <w:r>
        <w:t xml:space="preserve">4.</w:t>
      </w:r>
      <w:r>
        <w:t xml:space="preserve"> </w:t>
      </w:r>
      <w:r>
        <w:t xml:space="preserve">If a review of records cited in subparagraph 3. of this paragraph reveals that the price-based NF fails to meet the minimum accuracy threshold, the department shall determine if the NF fails to meet the minimum accuracy threshold by reviewing 100 percent of the price-based NF's Medicaid MDS assessments:</w:t>
      </w:r>
    </w:p>
    <w:p>
      <w:pPr>
        <w:pStyle w:val="kar_clause"/>
      </w:pPr>
      <w:r>
        <w:t xml:space="preserve">a.</w:t>
      </w:r>
      <w:r>
        <w:t xml:space="preserve"> </w:t>
      </w:r>
      <w:r>
        <w:t xml:space="preserve">Extracted in accordance with paragraph (a) of this subsection; and</w:t>
      </w:r>
    </w:p>
    <w:p>
      <w:pPr>
        <w:pStyle w:val="kar_clause"/>
      </w:pPr>
      <w:r>
        <w:t xml:space="preserve">b.</w:t>
      </w:r>
      <w:r>
        <w:t xml:space="preserve"> </w:t>
      </w:r>
      <w:r>
        <w:t xml:space="preserve">Selecting one (1) MDS assessment per resident.</w:t>
      </w:r>
    </w:p>
    <w:p>
      <w:pPr>
        <w:pStyle w:val="kar_subsection"/>
      </w:pPr>
      <w:r>
        <w:t xml:space="preserve">(4)</w:t>
      </w:r>
      <w:r>
        <w:t xml:space="preserve"> </w:t>
      </w:r>
      <w:r>
        <w:t xml:space="preserve">If the department's review, in accordance with subsection (3)(c)3. and 4.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 cited in subsection (3)(c)4. of this section.</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month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w:t>
      </w:r>
    </w:p>
    <w:p>
      <w:pPr>
        <w:pStyle w:val="kar_paragraph"/>
      </w:pPr>
      <w:r>
        <w:t xml:space="preserve">(b)</w:t>
      </w:r>
      <w:r>
        <w:t xml:space="preserve"> </w:t>
      </w:r>
      <w:r>
        <w:t xml:space="preserve">The NF informs the resident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fourteen (14)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 if the facility's occupancy percent is ninety-five (95) percent or greater for the calendar quarter preceding the bed reserve day; and</w:t>
      </w:r>
    </w:p>
    <w:p>
      <w:pPr>
        <w:pStyle w:val="kar_paragraph"/>
      </w:pPr>
      <w:r>
        <w:t xml:space="preserve">(d)</w:t>
      </w:r>
      <w:r>
        <w:t xml:space="preserve"> </w:t>
      </w:r>
      <w:r>
        <w:t xml:space="preserve">Reimbursed at fifty (50) percent of a facility's rate if the facility's occupancy percent is less than ninety-five (95) percent for the calendar quarter preceding the bed reserve day.</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t xml:space="preserve">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(11)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oxygen therapy and for ancillary services provided to an individual in a critical access hospital swing bed, the department shall reimburse for an ancillary service that meets the criteria established in 907 KAR 1:023 utilizing the corresponding outpatient procedure code rate listed in the Medicaid Physician Fee Schedule established in 907 KAR 3:010, Section 3.</w:t>
      </w:r>
    </w:p>
    <w:p>
      <w:pPr>
        <w:pStyle w:val="kar_subsection"/>
      </w:pPr>
      <w:r>
        <w:t xml:space="preserve">(2)</w:t>
      </w:r>
      <w:r>
        <w:t xml:space="preserve"> </w:t>
      </w:r>
      <w:r>
        <w:t xml:space="preserve">The department shall reimburse for an oxygen therapy utilizing the Medicaid DME Program fee schedule established in 907 KAR 1:479.</w:t>
      </w:r>
    </w:p>
    <w:p>
      <w:pPr>
        <w:pStyle w:val="kar_subsection"/>
      </w:pPr>
      <w:r>
        <w:t xml:space="preserve">(3)</w:t>
      </w:r>
      <w:r>
        <w:t xml:space="preserve"> </w:t>
      </w:r>
      <w:r>
        <w:t xml:space="preserve">Respiratory therapy and respiratory therapy supplies shall be a routine service.</w:t>
      </w:r>
    </w:p>
    <w:p>
      <w:pPr>
        <w:pStyle w:val="kar_subsection"/>
      </w:pPr>
      <w:r>
        <w:t xml:space="preserve">(4)</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14.</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 and</w:t>
      </w:r>
    </w:p>
    <w:p>
      <w:pPr>
        <w:pStyle w:val="kar_paragraph"/>
      </w:pPr>
      <w:r>
        <w:t xml:space="preserve">(d)</w:t>
      </w:r>
      <w:r>
        <w:t xml:space="preserve"> </w:t>
      </w:r>
      <w:r>
        <w:t xml:space="preserve">"Minimum Data Set (MDS) - Version 3.0, Resident Assessment and Care Screening", 10/1/2016.</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for Medicaid Services, 275 East Main Street, Frankfort, Kentucky 40621, Monday through Friday, 8 a.m. to 4:30 p.m.; and</w:t>
      </w:r>
    </w:p>
    <w:p>
      <w:pPr>
        <w:pStyle w:val="kar_paragraph"/>
      </w:pPr>
      <w:r>
        <w:t xml:space="preserve">(b)</w:t>
      </w:r>
      <w:r>
        <w:t xml:space="preserve"> </w:t>
      </w:r>
      <w:r>
        <w:t xml:space="preserve">Following location on the department's Web site: https://chfs.ky.gov/agencies/dms/dafm/Pages/default.aspx.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2177; 27 Ky.R. 133; eff. 7-17-2000; 28 Ky.R. 945; 1405; eff. 12-19-2001; 29 Ky.R. 2540; 2892; eff. 6-16-2003; 30 Ky.R. 1635; 2036; eff. 3-18-2004; 31 Ky.R. 463; 1262; eff. 1-21-2005; 32 Ky.R. 995; 1445; eff. 3-31-2006; TAm eff. 7-16-2013; 43 Ky.R. 1485, 1997, 2149; eff. 7-7-2017; TAm eff. 10-30-2017; 49 Ky.R. 444, 1313;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b0807475984088" /><Relationship Type="http://schemas.openxmlformats.org/officeDocument/2006/relationships/settings" Target="/word/settings.xml" Id="Raff267ba5f564bb4" /></Relationships>
</file>