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cd9e80a29043ba"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w:t>
      </w:r>
      <w:r>
        <w:rPr>
          <w:u w:val="single"/>
        </w:rPr>
        <w:t xml:space="preserve">or</w:t>
      </w:r>
      <w:r>
        <w:t>[</w:t>
      </w:r>
      <w:r>
        <w:rPr>
          <w:strike w:val="true"/>
        </w:rPr>
        <w:t xml:space="preserve">and</w:t>
      </w:r>
      <w:r>
        <w:t>]</w:t>
      </w:r>
    </w:p>
    <w:p>
      <w:pPr>
        <w:pStyle w:val="kar_subparagraph"/>
      </w:pPr>
      <w:r>
        <w:rPr>
          <w:u w:val="single"/>
        </w:rPr>
        <w:t xml:space="preserve">4.</w:t>
      </w:r>
      <w:r>
        <w:t xml:space="preserve"> </w:t>
      </w:r>
      <w:r>
        <w:rPr>
          <w:u w:val="single"/>
        </w:rPr>
        <w:t xml:space="preserve">A citizen of:</w:t>
      </w:r>
    </w:p>
    <w:p>
      <w:pPr>
        <w:pStyle w:val="kar_clause"/>
      </w:pPr>
      <w:r>
        <w:rPr>
          <w:u w:val="single"/>
        </w:rPr>
        <w:t xml:space="preserve">a.</w:t>
      </w:r>
      <w:r>
        <w:t xml:space="preserve"> </w:t>
      </w:r>
      <w:r>
        <w:rPr>
          <w:u w:val="single"/>
        </w:rPr>
        <w:t xml:space="preserve">The Freely Associated States;</w:t>
      </w:r>
    </w:p>
    <w:p>
      <w:pPr>
        <w:pStyle w:val="kar_clause"/>
      </w:pPr>
      <w:r>
        <w:rPr>
          <w:u w:val="single"/>
        </w:rPr>
        <w:t xml:space="preserve">b.</w:t>
      </w:r>
      <w:r>
        <w:t xml:space="preserve"> </w:t>
      </w:r>
      <w:r>
        <w:rPr>
          <w:u w:val="single"/>
        </w:rPr>
        <w:t xml:space="preserve">The Federated States of Micronesia;</w:t>
      </w:r>
    </w:p>
    <w:p>
      <w:pPr>
        <w:pStyle w:val="kar_clause"/>
      </w:pPr>
      <w:r>
        <w:rPr>
          <w:u w:val="single"/>
        </w:rPr>
        <w:t xml:space="preserve">c.</w:t>
      </w:r>
      <w:r>
        <w:t xml:space="preserve"> </w:t>
      </w:r>
      <w:r>
        <w:rPr>
          <w:u w:val="single"/>
        </w:rPr>
        <w:t xml:space="preserve">The Republic of Palau; or</w:t>
      </w:r>
    </w:p>
    <w:p>
      <w:pPr>
        <w:pStyle w:val="kar_clause"/>
      </w:pPr>
      <w:r>
        <w:rPr>
          <w:u w:val="single"/>
        </w:rPr>
        <w:t xml:space="preserve">d.</w:t>
      </w:r>
      <w:r>
        <w:t xml:space="preserve"> </w:t>
      </w:r>
      <w:r>
        <w:rPr>
          <w:u w:val="single"/>
        </w:rP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w:t>
      </w:r>
      <w:r>
        <w:t>[</w:t>
      </w:r>
      <w:r>
        <w:rPr>
          <w:strike w:val="true"/>
        </w:rPr>
        <w:t xml:space="preserve">or</w:t>
      </w:r>
      <w:r>
        <w:t>]</w:t>
      </w:r>
    </w:p>
    <w:p>
      <w:pPr>
        <w:pStyle w:val="kar_subparagraph"/>
      </w:pPr>
      <w:r>
        <w:t xml:space="preserve">3.</w:t>
      </w:r>
      <w:r>
        <w:t xml:space="preserve"> </w:t>
      </w:r>
      <w:r>
        <w:t xml:space="preserve">G series visa</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signature"/>
      </w:pPr>
      <w:r>
        <w:t xml:space="preserve">CATHE DYKSTRA, Chair KHEAA Board</w:t>
      </w:r>
    </w:p>
    <w:p>
      <w:pPr>
        <w:pStyle w:val="kar_normal"/>
      </w:pPr>
      <w:r>
        <w:t xml:space="preserve"/>
      </w:r>
    </w:p>
    <w:p>
      <w:pPr>
        <w:pStyle w:val="kar_approved_by"/>
      </w:pPr>
      <w:r>
        <w:t xml:space="preserve">APPROVED BY AGENCY: October 13, 2022</w:t>
      </w:r>
    </w:p>
    <w:p>
      <w:pPr>
        <w:pStyle w:val="kar_filed"/>
      </w:pPr>
      <w:r>
        <w:t xml:space="preserve">FILED WITH LRC: November 7, 2022 at 1:40 p.m.</w:t>
      </w:r>
    </w:p>
    <w:p>
      <w:pPr>
        <w:pStyle w:val="kar_normal"/>
      </w:pPr>
      <w:r>
        <w:t xml:space="preserve"/>
      </w:r>
    </w:p>
    <w:p>
      <w:pPr>
        <w:pStyle w:val="kar_comment_period"/>
      </w:pPr>
      <w:r>
        <w:t xml:space="preserve">PUBLIC HEARING AND PUBLIC COMMENT PERIOD: A public hearing on this administrative regulation shall be held on Thursday, January 26, 2023,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the administration of the College Access Program and Kentucky Tuition Grant programs.</w:t>
      </w:r>
    </w:p>
    <w:p>
      <w:pPr>
        <w:pStyle w:val="kar_normal"/>
        <w:ind w:left="576"/>
      </w:pPr>
      <w:r>
        <w:t xml:space="preserve">(b) The necessity of this administrative regulation:</w:t>
      </w:r>
    </w:p>
    <w:p>
      <w:pPr>
        <w:pStyle w:val="kar_normal"/>
        <w:ind w:left="720"/>
      </w:pPr>
      <w:r>
        <w:t xml:space="preserve">This administrative regulation is necessary in order to comply with KRS 164.753(4), which requires the Authority to promulgate administrative regulations pertaining to grants.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ensuring that those terms applicable to the KHEAA-administered grant programs are referenced accurately.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defining those terms pertinent to the KHEAA-administered grant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adding four (4) new categories of non-citizens to the eligibility list for the grant programs administered by KHEAA. It will also add one (1) category of non-citizens to the ineligibility list. These changes are to be consistent with the federal Pell grant eligibility criteria.</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in order to bring the state grant non-citizen eligibility groups into alignment with the federal Pell grant provisions.</w:t>
      </w:r>
    </w:p>
    <w:p>
      <w:pPr>
        <w:pStyle w:val="kar_normal"/>
        <w:ind w:left="576"/>
      </w:pPr>
      <w:r>
        <w:t xml:space="preserve">(c) How the amendment conforms to the content of the authorizing statutes:</w:t>
      </w:r>
    </w:p>
    <w:p>
      <w:pPr>
        <w:pStyle w:val="kar_normal"/>
        <w:ind w:left="720"/>
      </w:pPr>
      <w:r>
        <w:t xml:space="preserve">KRS 164.748(4) requires the Authority to promulgate administrative regulations pertaining to the awarding of grants, scholarships, and honorary scholarships as provided in KRS 164.740 to 164.785. KRS 164.753(4) requires the Authority to promulgate administrative regulations pertaining to grants. KRS 164.780 authorizes the Authority to provide grants to assist financially needy undergraduate students to attend educational institutions in Kentucky. This amendment conforms to the content of the authorizing statutes by ensuring that relevant terms applicable to the KHEAA grant programs are accurately defined within the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ensuring that the definitions of those terms relevant to the KHEAA grant programs are complete and accurate.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 the 2021-22 academic year, KTG offers were made to 35,125 students. Of those offers, 13,730 students received awards. For the same period, CAP offers were made to 89,315 students. Of those offers, 53,956 students received awards.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revised definitions contained in the amendment will be applicable to the above-referenced groups.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Four (4) new categories of non-citizens will now be eligible for a grant award while one (1) new categories of non-citizens will specifically be excluded from eligibility.</w:t>
      </w:r>
    </w:p>
    <w:p>
      <w:pPr>
        <w:pStyle w:val="kar_normal"/>
        <w:ind w:left="576"/>
      </w:pPr>
      <w:r>
        <w:t xml:space="preserve">(c) As a result of compliance, what benefits will accrue to the entities identified in question (3):</w:t>
      </w:r>
    </w:p>
    <w:p>
      <w:pPr>
        <w:pStyle w:val="kar_normal"/>
        <w:ind w:left="720"/>
      </w:pPr>
      <w:r>
        <w:t xml:space="preserve">Four (4) new categories of non-citizens will now be eligible for a grant award while one (1) new categories of non-citizens will specifically be excluded from eligibility.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will be no cost to implement this amended administrative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Grants for students under the College Access Program and the Kentucky Tuition Grant Program are funded from net lottery revenues transferred to the authority for grant and scholarship programs and administrative costs are borne by the authority through receipts of the authority.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 nor does this administrative regulation directly or indirectly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the 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164.748(4), 164.753(4).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additional costs are associated with this regulation.</w:t>
      </w:r>
    </w:p>
    <w:p>
      <w:pPr>
        <w:pStyle w:val="kar_normal"/>
        <w:ind w:left="576"/>
      </w:pPr>
      <w:r>
        <w:t xml:space="preserve">(d) How much will it cost to administer this program for subsequent years?</w:t>
      </w:r>
    </w:p>
    <w:p>
      <w:pPr>
        <w:pStyle w:val="kar_normal"/>
        <w:ind w:left="720"/>
      </w:pPr>
      <w:r>
        <w:t xml:space="preserve">No additional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 applicants for KHEAA grant awards - will incur no cost savings as a result of this regulation during the first full year in which this administrative regulation is in effect since there are no costs incurred by those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Same as 4a above.</w:t>
      </w:r>
    </w:p>
    <w:p>
      <w:pPr>
        <w:pStyle w:val="kar_normal"/>
        <w:ind w:left="576"/>
      </w:pPr>
      <w:r>
        <w:t xml:space="preserve">(c) How much will it cost the regulated entities for the first year?</w:t>
      </w:r>
    </w:p>
    <w:p>
      <w:pPr>
        <w:pStyle w:val="kar_normal"/>
        <w:ind w:left="720"/>
      </w:pPr>
      <w:r>
        <w:t xml:space="preserve">The regulated entities – applicants for KHEAA grant awards – will incur no costs for the first year in which this administrative regulation is in effect.</w:t>
      </w:r>
    </w:p>
    <w:p>
      <w:pPr>
        <w:pStyle w:val="kar_normal"/>
        <w:ind w:left="576"/>
      </w:pPr>
      <w:r>
        <w:t xml:space="preserve">(d) How much will it cost the regulated entities for subsequent years?</w:t>
      </w:r>
    </w:p>
    <w:p>
      <w:pPr>
        <w:pStyle w:val="kar_normal"/>
        <w:ind w:left="720"/>
      </w:pPr>
      <w:r>
        <w:t xml:space="preserve">Same as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Authority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ad500b57a4fc0" /><Relationship Type="http://schemas.openxmlformats.org/officeDocument/2006/relationships/settings" Target="/word/settings.xml" Id="Rb84ca610fd51429b" /></Relationships>
</file>