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a0521250464ce4" /></Relationships>
</file>

<file path=word/document.xml><?xml version="1.0" encoding="utf-8"?>
<w:document xmlns:w="http://schemas.openxmlformats.org/wordprocessingml/2006/main">
  <w:body>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Concession Disadvantaged Business Enterprise as defined by 49 C.F.R. 23.3(2).</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"Ineligibility complaint" means an action of a third party alleging verbally or in writing that a firm is ineligible to participate in the DBE program.</w:t>
      </w:r>
    </w:p>
    <w:p>
      <w:pPr>
        <w:pStyle w:val="kar_subsection"/>
      </w:pPr>
      <w:r>
        <w:t xml:space="preserve">(10)</w:t>
      </w:r>
      <w:r>
        <w:t xml:space="preserve"> </w:t>
      </w:r>
      <w:r>
        <w:t xml:space="preserve">"Notice" means a written notice from the Transportation Cabinet or Office for Civil Rights and Small Business Development delivered via certified mail to the business address listed on the application form.</w:t>
      </w:r>
    </w:p>
    <w:p>
      <w:pPr>
        <w:pStyle w:val="kar_subsection"/>
      </w:pPr>
      <w:r>
        <w:t xml:space="preserve">(11)</w:t>
      </w:r>
      <w:r>
        <w:t xml:space="preserve"> </w:t>
      </w:r>
      <w:r>
        <w:t xml:space="preserve">"On-site visit" means an interview conducted by the Office of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(12)</w:t>
      </w:r>
      <w:r>
        <w:t xml:space="preserve"> </w:t>
      </w:r>
      <w:r>
        <w:t xml:space="preserve">"Program" is defined by 49 C.F.R. 26.5.</w:t>
      </w:r>
    </w:p>
    <w:p>
      <w:pPr>
        <w:pStyle w:val="kar_subsection"/>
      </w:pPr>
      <w:r>
        <w:t xml:space="preserve">(13)</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(14)</w:t>
      </w:r>
      <w:r>
        <w:t xml:space="preserve"> </w:t>
      </w:r>
      <w:r>
        <w:t xml:space="preserve">"Small Business Administration" or "SBA" is defined by 49 C.F.R. 26.5.</w:t>
      </w:r>
    </w:p>
    <w:p>
      <w:pPr>
        <w:pStyle w:val="kar_subsection"/>
      </w:pPr>
      <w:r>
        <w:t xml:space="preserve">(15)</w:t>
      </w:r>
      <w:r>
        <w:t xml:space="preserve"> </w:t>
      </w:r>
      <w:r>
        <w:t xml:space="preserve">"Small business concern" is defined by 49 C.F.R. 26.5.</w:t>
      </w:r>
    </w:p>
    <w:p>
      <w:pPr>
        <w:pStyle w:val="kar_subsection"/>
      </w:pPr>
      <w:r>
        <w:t xml:space="preserve">(16)</w:t>
      </w:r>
      <w:r>
        <w:t xml:space="preserve"> </w:t>
      </w:r>
      <w:r>
        <w:t xml:space="preserve">"Socially and economically disadvantaged individual" is defined by 49 C.F.R. 26.5.</w:t>
      </w:r>
    </w:p>
    <w:p>
      <w:pPr>
        <w:pStyle w:val="kar_subsection"/>
      </w:pPr>
      <w:r>
        <w:t xml:space="preserve">(17)</w:t>
      </w:r>
      <w:r>
        <w:t xml:space="preserve"> </w:t>
      </w:r>
      <w:r>
        <w:t xml:space="preserve">"Unified Certification Program" or "UCP" is defined by 49 C.F.R. 26.81.</w:t>
      </w:r>
    </w:p>
    <w:p>
      <w:pPr>
        <w:pStyle w:val="kar_subsection"/>
      </w:pPr>
      <w:r>
        <w:t xml:space="preserve">(18)</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 as established in 49 C.F.R. 26.83.</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of Project Development, or a proxy;</w:t>
      </w:r>
    </w:p>
    <w:p>
      <w:pPr>
        <w:pStyle w:val="kar_subparagraph"/>
      </w:pPr>
      <w:r>
        <w:t xml:space="preserve">2.</w:t>
      </w:r>
      <w:r>
        <w:t xml:space="preserve"> </w:t>
      </w:r>
      <w:r>
        <w:t xml:space="preserve">Director of the Division of Construction, or a proxy; and</w:t>
      </w:r>
    </w:p>
    <w:p>
      <w:pPr>
        <w:pStyle w:val="kar_subparagraph"/>
      </w:pPr>
      <w:r>
        <w:t xml:space="preserve">3.</w:t>
      </w:r>
      <w:r>
        <w:t xml:space="preserve"> </w:t>
      </w:r>
      <w:r>
        <w:t xml:space="preserve">Director of the Division of Construction Procurement,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ex officio.</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w:t>
      </w:r>
    </w:p>
    <w:p>
      <w:pPr>
        <w:pStyle w:val="kar_paragraph"/>
      </w:pPr>
      <w:r>
        <w:t xml:space="preserve">(f)</w:t>
      </w:r>
      <w:r>
        <w:t xml:space="preserve"> </w:t>
      </w:r>
      <w:r>
        <w:t xml:space="preserve">Division of Licensing; and</w:t>
      </w:r>
    </w:p>
    <w:p>
      <w:pPr>
        <w:pStyle w:val="kar_paragraph"/>
      </w:pPr>
      <w:r>
        <w:t xml:space="preserve">(g)</w:t>
      </w:r>
      <w:r>
        <w:t xml:space="preserve"> </w:t>
      </w:r>
      <w:r>
        <w:t xml:space="preserve">Office of Legal Services.</w:t>
      </w:r>
    </w:p>
    <w:p>
      <w:pPr>
        <w:pStyle w:val="kar_section"/>
      </w:pPr>
      <w:r>
        <w:t xml:space="preserve">Section 4.</w:t>
      </w:r>
      <w:r>
        <w:t xml:space="preserve"> </w:t>
      </w:r>
      <w:r>
        <w:t xml:space="preserve">Certification Committee Procedures.</w:t>
      </w:r>
    </w:p>
    <w:p>
      <w:pPr>
        <w:pStyle w:val="kar_subsection"/>
      </w:pPr>
      <w:r>
        <w:t xml:space="preserve">(1)</w:t>
      </w:r>
      <w:r>
        <w:t xml:space="preserve"> </w:t>
      </w:r>
      <w:r>
        <w:t xml:space="preserve">Upon voting, a simple majority shall constitute a quorum. If only two (2) voting members are in attendance, they can still vote and be a quorum provided they vote in agreement. If only two (2) certification members vote and if they disagree rendering the vote a tie, the Executive Director of the Office for Civil Rights and Small Business Development or the executive director's proxy,, the shall cast the tie breaking vote.</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UCP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UCP application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UCP application shall be submitted electronically to the cabinet's Office for Civil Rights and Small Business.</w:t>
      </w:r>
    </w:p>
    <w:p>
      <w:pPr>
        <w:pStyle w:val="kar_subsection"/>
      </w:pPr>
      <w:r>
        <w:t xml:space="preserve">(4)</w:t>
      </w:r>
      <w:r>
        <w:t xml:space="preserve"> </w:t>
      </w:r>
      <w:r>
        <w:t xml:space="preserve">An incomplete UCP application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UCP application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UCP application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emailed to S33AppealsManagementRecords@dot.gov within ninety (90) days of the date of the decision of the committee. The appeal shall include the denied certification notice and other pertinent information and provide a full and specific statement as to why the decision is erroneous, what significant fact was not considered, or what provisions of 49 C.F.R. Part 26 were not properly applied. USDOT shall not accept notices of intent or partial or otherwise non-compliant submissions.</w:t>
      </w:r>
    </w:p>
    <w:p>
      <w:pPr>
        <w:pStyle w:val="kar_subsection"/>
      </w:pPr>
      <w:r>
        <w:t xml:space="preserve">(2)</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1027; 1203; eff. 1-4-1988; 15 Ky.R. 534; eff. 10-4-1988; 17 Ky.R. 1540; eff. 12-4-1990; 19 Ky.R. 1130; 1532; eff. 1-4-1993; 20 Ky.R. 2892; 3194; eff. 5-23-1994; 21 Ky.R. 2521; eff. 6-1-1995; 22 Ky.R. 1362; 1621; 1835; eff. 4-5-1996; 24 Ky.R. 1559; 1880; eff. 2-19-1998; 30 Ky.R. 2233; 2459; eff. 6-21-2004; 44 Ky.R. 2272, 2501; eff. 7-6-2018; 49 Ky.R. 630, 1254; eff. 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aafb9c0c7c495c" /><Relationship Type="http://schemas.openxmlformats.org/officeDocument/2006/relationships/settings" Target="/word/settings.xml" Id="Ra5111ee904ea41b6" /></Relationships>
</file>