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e26286b43d493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7:125.</w:t>
      </w:r>
      <w:r>
        <w:t xml:space="preserve"> </w:t>
      </w:r>
      <w:r>
        <w:t xml:space="preserve">Pupil attendance.</w:t>
      </w:r>
    </w:p>
    <w:p>
      <w:pPr>
        <w:pStyle w:val="kar_markup_metadata"/>
      </w:pPr>
      <w:r>
        <w:t xml:space="preserve">RELATES TO: </w:t>
      </w:r>
      <w:r>
        <w:t xml:space="preserve">KRS 157.320, 157.350, </w:t>
      </w:r>
      <w:r>
        <w:t>[</w:t>
      </w:r>
      <w:r>
        <w:rPr>
          <w:strike w:val="true"/>
        </w:rPr>
        <w:t xml:space="preserve">157.360, </w:t>
      </w:r>
      <w:r>
        <w:t>]</w:t>
      </w:r>
      <w:r>
        <w:t xml:space="preserve">158.030, 158.070, 158.100, 158.240, 159.010, 159.030, 159.035, 159.140, 159.170, 161.200</w:t>
      </w:r>
    </w:p>
    <w:p>
      <w:pPr>
        <w:pStyle w:val="kar_markup_metadata"/>
      </w:pPr>
      <w:r>
        <w:t xml:space="preserve">STATUTORY AUTHORITY: </w:t>
      </w:r>
      <w:r>
        <w:t xml:space="preserve">KRS 156.070, 156.160, 157.320, </w:t>
      </w:r>
      <w:r>
        <w:rPr>
          <w:u w:val="single"/>
        </w:rPr>
        <w:t xml:space="preserve">157.360, </w:t>
      </w:r>
      <w:r>
        <w:t xml:space="preserve">158.070</w:t>
      </w:r>
    </w:p>
    <w:p>
      <w:pPr>
        <w:pStyle w:val="kar_markup_metadata"/>
      </w:pPr>
      <w:r>
        <w:t xml:space="preserve">NECESSITY, FUNCTION, AND CONFORMITY: </w:t>
      </w:r>
      <w:r>
        <w:t xml:space="preserve">KRS 156.160 requires the Kentucky Board of Education to promulgate administrative </w:t>
      </w:r>
      <w:r>
        <w:rPr>
          <w:u w:val="single"/>
        </w:rPr>
        <w:t xml:space="preserve">regulations</w:t>
      </w:r>
      <w:r>
        <w:t>[</w:t>
      </w:r>
      <w:r>
        <w:rPr>
          <w:strike w:val="true"/>
        </w:rPr>
        <w:t xml:space="preserve">regulation</w:t>
      </w:r>
      <w:r>
        <w:t>]</w:t>
      </w:r>
      <w:r>
        <w:t xml:space="preserve">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w:t>
      </w:r>
      <w:r>
        <w:rPr>
          <w:u w:val="single"/>
        </w:rPr>
        <w:t xml:space="preserve">defines</w:t>
      </w:r>
      <w:r>
        <w:t>[</w:t>
      </w:r>
      <w:r>
        <w:rPr>
          <w:strike w:val="true"/>
        </w:rPr>
        <w:t xml:space="preserve">and 159.035 define</w:t>
      </w:r>
      <w:r>
        <w:t>]</w:t>
      </w:r>
      <w:r>
        <w:t xml:space="preserve"> attendance credit for moral instruction</w:t>
      </w:r>
      <w:r>
        <w:rPr>
          <w:u w:val="single"/>
        </w:rPr>
        <w:t xml:space="preserve">,</w:t>
      </w:r>
      <w:r>
        <w:t xml:space="preserve"> and </w:t>
      </w:r>
      <w:r>
        <w:rPr>
          <w:u w:val="single"/>
        </w:rPr>
        <w:t xml:space="preserve">KRS 159.035 defines attendance for </w:t>
      </w:r>
      <w:r>
        <w:t xml:space="preserve">4-H activities</w:t>
      </w:r>
      <w:r>
        <w:rPr>
          <w:u w:val="single"/>
        </w:rPr>
        <w:t xml:space="preserve">, military basic training, page programs of the General Assembly, attendance at the Kentucky State Fair, educational enhancement opportunities, and when a parent or custodian is called to active military duty</w:t>
      </w:r>
      <w:r>
        <w:t xml:space="preserve">.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w:t>
      </w:r>
      <w:r>
        <w:rPr>
          <w:u w:val="single"/>
        </w:rPr>
        <w:t xml:space="preserve">KRS 158.033</w:t>
      </w:r>
      <w:r>
        <w:t>[</w:t>
      </w:r>
      <w:r>
        <w:rPr>
          <w:strike w:val="true"/>
        </w:rPr>
        <w:t xml:space="preserve">KRS 157.270</w:t>
      </w:r>
      <w:r>
        <w:t>]</w:t>
      </w:r>
      <w:r>
        <w:t xml:space="preserve">;</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rPr>
          <w:u w:val="single"/>
        </w:rPr>
        <w:t xml:space="preserve">The pupil is enrolled and participating in a full-time, online, virtual and remote learning program pursuant to the requirements of 704 KAR 3:535. A pupil shall be counted in attendance pursuant to the requirements of 704 KAR 3:535.</w:t>
      </w:r>
      <w:r>
        <w:t>[</w:t>
      </w:r>
      <w:r>
        <w:rPr>
          <w:strike w:val="true"/>
        </w:rPr>
        <w:t xml:space="preserve">For school year 2021-2022, the pupil is in quarantine due to documented possible exposure to COVID-19 or isolation due to COVID-19 infection, in accordance with Centers for Disease Control and Kentucky Department for Public Health guidelines, and is receiving at least the minimum amount of daily instruction required pursuant to KRS 158.060.</w:t>
      </w:r>
      <w:r>
        <w:t>]</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r>
        <w:rPr>
          <w:u w:val="single"/>
        </w:rPr>
        <w:t xml:space="preserve">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The district of attendance shall provide a list of all enrolled nonresident students to the district of residence not later than November 1 of each school year.</w:t>
      </w:r>
      <w:r>
        <w:t>[</w:t>
      </w:r>
      <w:r>
        <w:rPr>
          <w:strike w:val="true"/>
        </w:rP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r>
        <w:t>]</w:t>
      </w:r>
    </w:p>
    <w:p>
      <w:pPr>
        <w:pStyle w:val="kar_paragraph"/>
      </w:pPr>
      <w:r>
        <w:t>[</w:t>
      </w:r>
      <w:r>
        <w:rPr>
          <w:strike w:val="true"/>
        </w:rPr>
        <w:t xml:space="preserve">(b)</w:t>
      </w:r>
      <w:r>
        <w:t>]</w:t>
      </w:r>
      <w:r>
        <w:t xml:space="preserve"> </w:t>
      </w:r>
      <w:r>
        <w:t>[</w:t>
      </w:r>
      <w:r>
        <w:rPr>
          <w:strike w:val="true"/>
        </w:rPr>
        <w:t xml:space="preserve">The written agreement shall include the specific terms to which the districts have agreed. c) A list of the names of all nonresident pupils enrolled in the attending district covered by the agreement shall be filed in both the attending district and the resident district not later than November 1 of the school year covered by the agreement.</w:t>
      </w:r>
      <w:r>
        <w:t>]</w:t>
      </w:r>
    </w:p>
    <w:p>
      <w:pPr>
        <w:pStyle w:val="kar_paragraph"/>
      </w:pPr>
      <w:r>
        <w:t>[</w:t>
      </w:r>
      <w:r>
        <w:rPr>
          <w:strike w:val="true"/>
        </w:rPr>
        <w:t xml:space="preserve">(d)</w:t>
      </w:r>
      <w:r>
        <w:t>]</w:t>
      </w:r>
      <w:r>
        <w:t xml:space="preserve"> </w:t>
      </w:r>
      <w:r>
        <w:t>[</w:t>
      </w:r>
      <w:r>
        <w:rPr>
          <w:strike w:val="true"/>
        </w:rP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r>
        <w:t>]</w:t>
      </w:r>
    </w:p>
    <w:p>
      <w:pPr>
        <w:pStyle w:val="kar_subsection"/>
      </w:pPr>
      <w:r>
        <w:t xml:space="preserve">(2)</w:t>
      </w:r>
      <w:r>
        <w:t xml:space="preserve"> </w:t>
      </w:r>
      <w:r>
        <w:rPr>
          <w:u w:val="single"/>
        </w:rPr>
        <w:t xml:space="preserve">The district of attendance shall provide to the district of residence </w:t>
      </w:r>
      <w:r>
        <w:t xml:space="preserve">a list of the names of all nonresident pupils whose parent is an employee of the district as provided by KRS 157.350(4)(c)</w:t>
      </w:r>
      <w:r>
        <w:t>[</w:t>
      </w:r>
      <w:r>
        <w:rPr>
          <w:strike w:val="true"/>
        </w:rPr>
        <w:t xml:space="preserve"> and who are not covered by the nonresident agreement shall be filed in both the attending district and the resident district</w:t>
      </w:r>
      <w:r>
        <w:t>]</w:t>
      </w:r>
      <w:r>
        <w:t xml:space="preserve"> not later than November 1 of </w:t>
      </w:r>
      <w:r>
        <w:rPr>
          <w:u w:val="single"/>
        </w:rPr>
        <w:t xml:space="preserve">each</w:t>
      </w:r>
      <w:r>
        <w:t>[</w:t>
      </w:r>
      <w:r>
        <w:rPr>
          <w:strike w:val="true"/>
        </w:rPr>
        <w:t xml:space="preserve">the</w:t>
      </w:r>
      <w:r>
        <w:t>]</w:t>
      </w:r>
      <w:r>
        <w:t xml:space="preserve"> school year.</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r>
        <w:t>]</w:t>
      </w:r>
    </w:p>
    <w:p>
      <w:pPr>
        <w:pStyle w:val="kar_paragraph"/>
      </w:pPr>
      <w:r>
        <w:t>[</w:t>
      </w:r>
      <w:r>
        <w:rPr>
          <w:strike w:val="true"/>
        </w:rPr>
        <w:t xml:space="preserve">(b)</w:t>
      </w:r>
      <w:r>
        <w:t>]</w:t>
      </w:r>
      <w:r>
        <w:t xml:space="preserve"> </w:t>
      </w:r>
      <w:r>
        <w:t>[</w:t>
      </w:r>
      <w:r>
        <w:rPr>
          <w:strike w:val="true"/>
        </w:rP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r>
        <w:t>]</w:t>
      </w:r>
    </w:p>
    <w:p>
      <w:pPr>
        <w:pStyle w:val="kar_paragraph"/>
      </w:pPr>
      <w:r>
        <w:t>[</w:t>
      </w:r>
      <w:r>
        <w:rPr>
          <w:strike w:val="true"/>
        </w:rPr>
        <w:t xml:space="preserve">(c)</w:t>
      </w:r>
      <w:r>
        <w:t>]</w:t>
      </w:r>
      <w:r>
        <w:t xml:space="preserve"> </w:t>
      </w:r>
      <w:r>
        <w:t>[</w:t>
      </w:r>
      <w:r>
        <w:rPr>
          <w:strike w:val="true"/>
        </w:rP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r>
        <w:t>]</w:t>
      </w:r>
    </w:p>
    <w:p>
      <w:pPr>
        <w:pStyle w:val="kar_paragraph"/>
      </w:pPr>
      <w:r>
        <w:t>[</w:t>
      </w:r>
      <w:r>
        <w:rPr>
          <w:strike w:val="true"/>
        </w:rPr>
        <w:t xml:space="preserve">(b)</w:t>
      </w:r>
      <w:r>
        <w:t>]</w:t>
      </w:r>
      <w:r>
        <w:t xml:space="preserve"> </w:t>
      </w:r>
      <w:r>
        <w:t>[</w:t>
      </w:r>
      <w:r>
        <w:rPr>
          <w:strike w:val="true"/>
        </w:rPr>
        <w:t xml:space="preserve">A notice of appeal and request for hearing from a local board of education shall include:</w:t>
      </w:r>
      <w:r>
        <w:t>]</w:t>
      </w:r>
    </w:p>
    <w:p>
      <w:pPr>
        <w:pStyle w:val="kar_subparagraph"/>
      </w:pPr>
      <w:r>
        <w:t>[</w:t>
      </w:r>
      <w:r>
        <w:rPr>
          <w:strike w:val="true"/>
        </w:rPr>
        <w:t xml:space="preserve">1.</w:t>
      </w:r>
      <w:r>
        <w:t>]</w:t>
      </w:r>
      <w:r>
        <w:t xml:space="preserve"> </w:t>
      </w:r>
      <w:r>
        <w:t>[</w:t>
      </w:r>
      <w:r>
        <w:rPr>
          <w:strike w:val="true"/>
        </w:rPr>
        <w:t xml:space="preserve">The name of the school district filing the notice of appeal and request for hearing;</w:t>
      </w:r>
      <w:r>
        <w:t>]</w:t>
      </w:r>
    </w:p>
    <w:p>
      <w:pPr>
        <w:pStyle w:val="kar_subparagraph"/>
      </w:pPr>
      <w:r>
        <w:t>[</w:t>
      </w:r>
      <w:r>
        <w:rPr>
          <w:strike w:val="true"/>
        </w:rPr>
        <w:t xml:space="preserve">2.</w:t>
      </w:r>
      <w:r>
        <w:t>]</w:t>
      </w:r>
      <w:r>
        <w:t xml:space="preserve"> </w:t>
      </w:r>
      <w:r>
        <w:t>[</w:t>
      </w:r>
      <w:r>
        <w:rPr>
          <w:strike w:val="true"/>
        </w:rPr>
        <w:t xml:space="preserve">The case number, if any, assigned to the commissioner's written decision;</w:t>
      </w:r>
      <w:r>
        <w:t>]</w:t>
      </w:r>
    </w:p>
    <w:p>
      <w:pPr>
        <w:pStyle w:val="kar_subparagraph"/>
      </w:pPr>
      <w:r>
        <w:t>[</w:t>
      </w:r>
      <w:r>
        <w:rPr>
          <w:strike w:val="true"/>
        </w:rPr>
        <w:t xml:space="preserve">3.</w:t>
      </w:r>
      <w:r>
        <w:t>]</w:t>
      </w:r>
      <w:r>
        <w:t xml:space="preserve"> </w:t>
      </w:r>
      <w:r>
        <w:t>[</w:t>
      </w:r>
      <w:r>
        <w:rPr>
          <w:strike w:val="true"/>
        </w:rPr>
        <w:t xml:space="preserve">The date of the commissioner's written decision;</w:t>
      </w:r>
      <w:r>
        <w:t>]</w:t>
      </w:r>
    </w:p>
    <w:p>
      <w:pPr>
        <w:pStyle w:val="kar_subparagraph"/>
      </w:pPr>
      <w:r>
        <w:t>[</w:t>
      </w:r>
      <w:r>
        <w:rPr>
          <w:strike w:val="true"/>
        </w:rPr>
        <w:t xml:space="preserve">4.</w:t>
      </w:r>
      <w:r>
        <w:t>]</w:t>
      </w:r>
      <w:r>
        <w:t xml:space="preserve"> </w:t>
      </w:r>
      <w:r>
        <w:t>[</w:t>
      </w:r>
      <w:r>
        <w:rPr>
          <w:strike w:val="true"/>
        </w:rPr>
        <w:t xml:space="preserve">A statement of the issues which form a basis for the notice of appeal and request for hearing; and</w:t>
      </w:r>
      <w:r>
        <w:t>]</w:t>
      </w:r>
    </w:p>
    <w:p>
      <w:pPr>
        <w:pStyle w:val="kar_subparagraph"/>
      </w:pPr>
      <w:r>
        <w:t>[</w:t>
      </w:r>
      <w:r>
        <w:rPr>
          <w:strike w:val="true"/>
        </w:rPr>
        <w:t xml:space="preserve">5.</w:t>
      </w:r>
      <w:r>
        <w:t>]</w:t>
      </w:r>
      <w:r>
        <w:t xml:space="preserve"> </w:t>
      </w:r>
      <w:r>
        <w:t>[</w:t>
      </w:r>
      <w:r>
        <w:rPr>
          <w:strike w:val="true"/>
        </w:rPr>
        <w:t xml:space="preserve">The signature of the local board of education chair or counsel authorized to act on behalf of the local board of education.</w:t>
      </w:r>
      <w:r>
        <w:t>]</w:t>
      </w:r>
    </w:p>
    <w:p>
      <w:pPr>
        <w:pStyle w:val="kar_paragraph"/>
      </w:pPr>
      <w:r>
        <w:t>[</w:t>
      </w:r>
      <w:r>
        <w:rPr>
          <w:strike w:val="true"/>
        </w:rPr>
        <w:t xml:space="preserve">(c)</w:t>
      </w:r>
      <w:r>
        <w:t>]</w:t>
      </w:r>
      <w:r>
        <w:t xml:space="preserve"> </w:t>
      </w:r>
      <w:r>
        <w:t>[</w:t>
      </w:r>
      <w:r>
        <w:rPr>
          <w:strike w:val="true"/>
        </w:rP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Upon receipt of a notice of appeal and request for hearing, a notice of hearing pursuant to KRS 13B.050 shall be issued and a hearing officer shall be assigned pursuant to KRS 13B.030.</w:t>
      </w:r>
      <w:r>
        <w:t>]</w:t>
      </w:r>
    </w:p>
    <w:p>
      <w:pPr>
        <w:pStyle w:val="kar_paragraph"/>
      </w:pPr>
      <w:r>
        <w:t>[</w:t>
      </w:r>
      <w:r>
        <w:rPr>
          <w:strike w:val="true"/>
        </w:rPr>
        <w:t xml:space="preserve">(b)</w:t>
      </w:r>
      <w:r>
        <w:t>]</w:t>
      </w:r>
      <w:r>
        <w:t xml:space="preserve"> </w:t>
      </w:r>
      <w:r>
        <w:t>[</w:t>
      </w:r>
      <w:r>
        <w:rPr>
          <w:strike w:val="true"/>
        </w:rP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r>
        <w:t>]</w:t>
      </w:r>
    </w:p>
    <w:p>
      <w:pPr>
        <w:pStyle w:val="kar_paragraph"/>
      </w:pPr>
      <w:r>
        <w:t>[</w:t>
      </w:r>
      <w:r>
        <w:rPr>
          <w:strike w:val="true"/>
        </w:rPr>
        <w:t xml:space="preserve">(c)</w:t>
      </w:r>
      <w:r>
        <w:t>]</w:t>
      </w:r>
      <w:r>
        <w:t xml:space="preserve"> </w:t>
      </w:r>
      <w:r>
        <w:t>[</w:t>
      </w:r>
      <w:r>
        <w:rPr>
          <w:strike w:val="true"/>
        </w:rPr>
        <w:t xml:space="preserve">Following conclusion of administrative hearings not conducted before a quorum of the state board, the hearing officer shall issue a recommended order to the state board of education pursuant to KRS 13B.110.</w:t>
      </w:r>
      <w:r>
        <w:t>]</w:t>
      </w:r>
    </w:p>
    <w:p>
      <w:pPr>
        <w:pStyle w:val="kar_paragraph"/>
      </w:pPr>
      <w:r>
        <w:t>[</w:t>
      </w:r>
      <w:r>
        <w:rPr>
          <w:strike w:val="true"/>
        </w:rPr>
        <w:t xml:space="preserve">(d)</w:t>
      </w:r>
      <w:r>
        <w:t>]</w:t>
      </w:r>
      <w:r>
        <w:t xml:space="preserve"> </w:t>
      </w:r>
      <w:r>
        <w:t>[</w:t>
      </w:r>
      <w:r>
        <w:rPr>
          <w:strike w:val="true"/>
        </w:rPr>
        <w:t xml:space="preserve">Parties may file exceptions to the hearing officer's recommended order pursuant to KRS 13B.110.</w:t>
      </w:r>
      <w:r>
        <w:t>]</w:t>
      </w:r>
    </w:p>
    <w:p>
      <w:pPr>
        <w:pStyle w:val="kar_paragraph"/>
      </w:pPr>
      <w:r>
        <w:t>[</w:t>
      </w:r>
      <w:r>
        <w:rPr>
          <w:strike w:val="true"/>
        </w:rPr>
        <w:t xml:space="preserve">(e)</w:t>
      </w:r>
      <w:r>
        <w:t>]</w:t>
      </w:r>
      <w:r>
        <w:t xml:space="preserve"> </w:t>
      </w:r>
      <w:r>
        <w:t>[</w:t>
      </w:r>
      <w:r>
        <w:rPr>
          <w:strike w:val="true"/>
        </w:rP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r>
        <w:t>]</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w:t>
      </w:r>
      <w:r>
        <w:rPr>
          <w:u w:val="single"/>
        </w:rPr>
        <w:t xml:space="preserve">(8)</w:t>
      </w:r>
      <w:r>
        <w:t>[</w:t>
      </w:r>
      <w:r>
        <w:rPr>
          <w:strike w:val="true"/>
        </w:rPr>
        <w:t xml:space="preserve">(10)</w:t>
      </w:r>
      <w:r>
        <w:t>]</w:t>
      </w:r>
      <w:r>
        <w:t xml:space="preserve">;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w:t>
      </w:r>
      <w:r>
        <w:rPr>
          <w:u w:val="single"/>
        </w:rPr>
        <w:t xml:space="preserve"> and charter schools</w:t>
      </w:r>
      <w:r>
        <w:t xml:space="preserve">) in Kentucky during the current school year;</w:t>
      </w:r>
    </w:p>
    <w:p>
      <w:pPr>
        <w:pStyle w:val="kar_subsection"/>
      </w:pPr>
      <w:r>
        <w:t xml:space="preserve">(9)</w:t>
      </w:r>
      <w:r>
        <w:t xml:space="preserve"> </w:t>
      </w:r>
      <w:r>
        <w:rPr>
          <w:u w:val="single"/>
        </w:rPr>
        <w:t xml:space="preserve">R22 - A pupil previously enrolled in a charter school in Kentucky during the current school year;</w:t>
      </w:r>
    </w:p>
    <w:p>
      <w:pPr>
        <w:pStyle w:val="kar_subsection"/>
      </w:pPr>
      <w:r>
        <w:rPr>
          <w:u w:val="single"/>
        </w:rP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rPr>
          <w:u w:val="single"/>
        </w:rPr>
        <w:t xml:space="preserve">(11)</w:t>
      </w:r>
      <w:r>
        <w:t>[</w:t>
      </w:r>
      <w:r>
        <w:rPr>
          <w:strike w:val="true"/>
        </w:rPr>
        <w:t xml:space="preserve">(10)</w:t>
      </w:r>
      <w:r>
        <w:t>]</w:t>
      </w:r>
      <w:r>
        <w:t xml:space="preserve"> </w:t>
      </w:r>
      <w:r>
        <w:t xml:space="preserve">W02 - A pupil transferred to another public school in the same public school district. The reentry code to use with W02 shall be R02;</w:t>
      </w:r>
    </w:p>
    <w:p>
      <w:pPr>
        <w:pStyle w:val="kar_subsection"/>
      </w:pPr>
      <w:r>
        <w:rPr>
          <w:u w:val="single"/>
        </w:rPr>
        <w:t xml:space="preserve">(12)</w:t>
      </w:r>
      <w:r>
        <w:t>[</w:t>
      </w:r>
      <w:r>
        <w:rPr>
          <w:strike w:val="true"/>
        </w:rPr>
        <w:t xml:space="preserve">(11)</w:t>
      </w:r>
      <w:r>
        <w:t>]</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rPr>
          <w:u w:val="single"/>
        </w:rPr>
        <w:t xml:space="preserve">(13)</w:t>
      </w:r>
      <w:r>
        <w:t>[</w:t>
      </w:r>
      <w:r>
        <w:rPr>
          <w:strike w:val="true"/>
        </w:rPr>
        <w:t xml:space="preserve">(12)</w:t>
      </w:r>
      <w:r>
        <w:t>]</w:t>
      </w:r>
      <w:r>
        <w:t xml:space="preserve"> </w:t>
      </w:r>
      <w:r>
        <w:t xml:space="preserve">W08 - A pupil withdrawn due to death;</w:t>
      </w:r>
    </w:p>
    <w:p>
      <w:pPr>
        <w:pStyle w:val="kar_subsection"/>
      </w:pPr>
      <w:r>
        <w:rPr>
          <w:u w:val="single"/>
        </w:rPr>
        <w:t xml:space="preserve">(14)</w:t>
      </w:r>
      <w:r>
        <w:t>[</w:t>
      </w:r>
      <w:r>
        <w:rPr>
          <w:strike w:val="true"/>
        </w:rPr>
        <w:t xml:space="preserve">(13)</w:t>
      </w:r>
      <w:r>
        <w:t>]</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rPr>
          <w:u w:val="single"/>
        </w:rPr>
        <w:t xml:space="preserve">(15)</w:t>
      </w:r>
      <w:r>
        <w:t>[</w:t>
      </w:r>
      <w:r>
        <w:rPr>
          <w:strike w:val="true"/>
        </w:rPr>
        <w:t xml:space="preserve">(14)</w:t>
      </w:r>
      <w:r>
        <w:t>]</w:t>
      </w:r>
      <w:r>
        <w:t xml:space="preserve"> </w:t>
      </w:r>
      <w:r>
        <w:t xml:space="preserve">W17 - An entry level pupil in the primary program, withdrawn during the first two (2) months enrolled due to immaturity or mutual agreement by the parent, guardian</w:t>
      </w:r>
      <w:r>
        <w:rPr>
          <w:b/>
          <w:i/>
          <w:u w:val="single"/>
        </w:rPr>
        <w:t xml:space="preserve">,</w:t>
      </w:r>
      <w:r>
        <w:t xml:space="preserve"> or other custodian and the school in accordance with 704 KAR 5:060;</w:t>
      </w:r>
    </w:p>
    <w:p>
      <w:pPr>
        <w:pStyle w:val="kar_subsection"/>
      </w:pPr>
      <w:r>
        <w:rPr>
          <w:u w:val="single"/>
        </w:rPr>
        <w:t xml:space="preserve">(16)</w:t>
      </w:r>
      <w:r>
        <w:t>[</w:t>
      </w:r>
      <w:r>
        <w:rPr>
          <w:strike w:val="true"/>
        </w:rPr>
        <w:t xml:space="preserve">(15)</w:t>
      </w:r>
      <w:r>
        <w:t>]</w:t>
      </w:r>
      <w:r>
        <w:t xml:space="preserve"> </w:t>
      </w:r>
      <w:r>
        <w:t xml:space="preserve">W20 - A pupil transferred to a home school. The reentry code to use with W20 shall be R20;</w:t>
      </w:r>
    </w:p>
    <w:p>
      <w:pPr>
        <w:pStyle w:val="kar_subsection"/>
      </w:pPr>
      <w:r>
        <w:rPr>
          <w:u w:val="single"/>
        </w:rPr>
        <w:t xml:space="preserve">(17)</w:t>
      </w:r>
      <w:r>
        <w:t>[</w:t>
      </w:r>
      <w:r>
        <w:rPr>
          <w:strike w:val="true"/>
        </w:rPr>
        <w:t xml:space="preserve">(16)</w:t>
      </w:r>
      <w:r>
        <w:t>]</w:t>
      </w:r>
      <w:r>
        <w:t xml:space="preserve"> </w:t>
      </w:r>
      <w:r>
        <w:t xml:space="preserve">W21 - A pupil transferred to a nonpublic school (excluding home school). The reentry code to use with W21 shall be R21;</w:t>
      </w:r>
    </w:p>
    <w:p>
      <w:pPr>
        <w:pStyle w:val="kar_subsection"/>
      </w:pPr>
      <w:r>
        <w:rPr>
          <w:u w:val="single"/>
        </w:rPr>
        <w:t xml:space="preserve">(18)</w:t>
      </w:r>
      <w:r>
        <w:t>[</w:t>
      </w:r>
      <w:r>
        <w:rPr>
          <w:strike w:val="true"/>
        </w:rPr>
        <w:t xml:space="preserve">(17)</w:t>
      </w:r>
      <w:r>
        <w:t>]</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rPr>
          <w:u w:val="single"/>
        </w:rPr>
        <w:t xml:space="preserve">(19)</w:t>
      </w:r>
      <w:r>
        <w:t>[</w:t>
      </w:r>
      <w:r>
        <w:rPr>
          <w:strike w:val="true"/>
        </w:rPr>
        <w:t xml:space="preserve">(18)</w:t>
      </w:r>
      <w:r>
        <w:t>]</w:t>
      </w:r>
      <w:r>
        <w:t xml:space="preserve"> </w:t>
      </w:r>
      <w:r>
        <w:t xml:space="preserve">W23 - A pupil withdrawn for a second or subsequent time who initially withdrew as a W24 or W25 during the current school year;</w:t>
      </w:r>
    </w:p>
    <w:p>
      <w:pPr>
        <w:pStyle w:val="kar_subsection"/>
      </w:pPr>
      <w:r>
        <w:rPr>
          <w:u w:val="single"/>
        </w:rPr>
        <w:t xml:space="preserve">(20)</w:t>
      </w:r>
      <w:r>
        <w:t>[</w:t>
      </w:r>
      <w:r>
        <w:rPr>
          <w:strike w:val="true"/>
        </w:rPr>
        <w:t xml:space="preserve">(19)</w:t>
      </w:r>
      <w:r>
        <w:t>]</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rPr>
          <w:u w:val="single"/>
        </w:rPr>
        <w:t xml:space="preserve">(21)</w:t>
      </w:r>
      <w:r>
        <w:t>[</w:t>
      </w:r>
      <w:r>
        <w:rPr>
          <w:strike w:val="true"/>
        </w:rPr>
        <w:t xml:space="preserve">(20)</w:t>
      </w:r>
      <w:r>
        <w:t>]</w:t>
      </w:r>
      <w:r>
        <w:t xml:space="preserve"> </w:t>
      </w:r>
      <w:r>
        <w:t xml:space="preserve">W25 - A pupil who is at least eighteen (18) years of age and has withdrawn from public school;</w:t>
      </w:r>
    </w:p>
    <w:p>
      <w:pPr>
        <w:pStyle w:val="kar_subsection"/>
      </w:pPr>
      <w:r>
        <w:rPr>
          <w:u w:val="single"/>
        </w:rPr>
        <w:t xml:space="preserve">(22)</w:t>
      </w:r>
      <w:r>
        <w:t>[</w:t>
      </w:r>
      <w:r>
        <w:rPr>
          <w:strike w:val="true"/>
        </w:rPr>
        <w:t xml:space="preserve">(21)</w:t>
      </w:r>
      <w:r>
        <w:t>]</w:t>
      </w:r>
      <w:r>
        <w:t xml:space="preserve"> </w:t>
      </w:r>
      <w:r>
        <w:t xml:space="preserve">W26 - A pupil who has withdrawn from school after completing a secondary GED program and receiving a GED certificate;</w:t>
      </w:r>
    </w:p>
    <w:p>
      <w:pPr>
        <w:pStyle w:val="kar_subsection"/>
      </w:pPr>
      <w:r>
        <w:rPr>
          <w:u w:val="single"/>
        </w:rPr>
        <w:t xml:space="preserve">(23)</w:t>
      </w:r>
      <w:r>
        <w:t>[</w:t>
      </w:r>
      <w:r>
        <w:rPr>
          <w:strike w:val="true"/>
        </w:rPr>
        <w:t xml:space="preserve">(22)</w:t>
      </w:r>
      <w:r>
        <w:t>]</w:t>
      </w:r>
      <w:r>
        <w:t xml:space="preserve"> </w:t>
      </w:r>
      <w:r>
        <w:t xml:space="preserve">W27 - A pupil who has withdrawn from school and subsequently received a GED;</w:t>
      </w:r>
    </w:p>
    <w:p>
      <w:pPr>
        <w:pStyle w:val="kar_subsection"/>
      </w:pPr>
      <w:r>
        <w:rPr>
          <w:u w:val="single"/>
        </w:rPr>
        <w:t xml:space="preserve">(24)</w:t>
      </w:r>
      <w:r>
        <w:t>[</w:t>
      </w:r>
      <w:r>
        <w:rPr>
          <w:strike w:val="true"/>
        </w:rPr>
        <w:t xml:space="preserve">(23)</w:t>
      </w:r>
      <w:r>
        <w:t>]</w:t>
      </w:r>
      <w:r>
        <w:t xml:space="preserve"> </w:t>
      </w:r>
      <w:r>
        <w:t xml:space="preserve">W28 - A pupil who has reached the maximum age for education services without receiving a diploma or an alternative high school diploma;</w:t>
      </w:r>
    </w:p>
    <w:p>
      <w:pPr>
        <w:pStyle w:val="kar_subsection"/>
      </w:pPr>
      <w:r>
        <w:rPr>
          <w:u w:val="single"/>
        </w:rPr>
        <w:t xml:space="preserve">(25)</w:t>
      </w:r>
      <w:r>
        <w:t>[</w:t>
      </w:r>
      <w:r>
        <w:rPr>
          <w:strike w:val="true"/>
        </w:rPr>
        <w:t xml:space="preserve">(24)</w:t>
      </w:r>
      <w:r>
        <w:t>]</w:t>
      </w:r>
      <w:r>
        <w:t xml:space="preserve"> </w:t>
      </w:r>
      <w:r>
        <w:t xml:space="preserve">W29 - A pupil who has moved out of state or out of the United States;</w:t>
      </w:r>
    </w:p>
    <w:p>
      <w:pPr>
        <w:pStyle w:val="kar_subsection"/>
      </w:pPr>
      <w:r>
        <w:rPr>
          <w:u w:val="single"/>
        </w:rPr>
        <w:t xml:space="preserve">(26)</w:t>
      </w:r>
      <w:r>
        <w:t>[</w:t>
      </w:r>
      <w:r>
        <w:rPr>
          <w:strike w:val="true"/>
        </w:rPr>
        <w:t xml:space="preserve">(25)</w:t>
      </w:r>
      <w:r>
        <w:t>]</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rPr>
          <w:u w:val="single"/>
        </w:rPr>
        <w:t xml:space="preserve">(27)</w:t>
      </w:r>
      <w:r>
        <w:t>[</w:t>
      </w:r>
      <w:r>
        <w:rPr>
          <w:strike w:val="true"/>
        </w:rPr>
        <w:t xml:space="preserve">(26)</w:t>
      </w:r>
      <w:r>
        <w:t>]</w:t>
      </w:r>
      <w:r>
        <w:t xml:space="preserve"> </w:t>
      </w:r>
      <w:r>
        <w:rPr>
          <w:u w:val="single"/>
        </w:rPr>
        <w:t xml:space="preserve">W31 - A pupil in the preschool program, withdrawn due to immaturity or mutual agreement by the parent, guardian</w:t>
      </w:r>
      <w:r>
        <w:rPr>
          <w:b/>
          <w:i/>
          <w:u w:val="single"/>
        </w:rPr>
        <w:t xml:space="preserve">,</w:t>
      </w:r>
      <w:r>
        <w:rPr>
          <w:u w:val="single"/>
        </w:rPr>
        <w:t xml:space="preserve"> or other custodian and the school;</w:t>
      </w:r>
    </w:p>
    <w:p>
      <w:pPr>
        <w:pStyle w:val="kar_subsection"/>
      </w:pPr>
      <w:r>
        <w:rPr>
          <w:u w:val="single"/>
        </w:rPr>
        <w:t xml:space="preserve">(28)</w:t>
      </w:r>
      <w:r>
        <w:t xml:space="preserve"> </w:t>
      </w:r>
      <w:r>
        <w:rPr>
          <w:u w:val="single"/>
        </w:rPr>
        <w:t xml:space="preserve">W32 - A pupil transferred to a charter school. The reentry code to use with W32 shall be R22;</w:t>
      </w:r>
    </w:p>
    <w:p>
      <w:pPr>
        <w:pStyle w:val="kar_subsection"/>
      </w:pPr>
      <w:r>
        <w:rPr>
          <w:u w:val="single"/>
        </w:rPr>
        <w:t xml:space="preserve">(29)</w:t>
      </w:r>
      <w:r>
        <w:t xml:space="preserve"> </w:t>
      </w:r>
      <w:r>
        <w:t xml:space="preserve">C01 - A pupil who completes the school year in the school of the most current enrollment;</w:t>
      </w:r>
    </w:p>
    <w:p>
      <w:pPr>
        <w:pStyle w:val="kar_subsection"/>
      </w:pPr>
      <w:r>
        <w:rPr>
          <w:u w:val="single"/>
        </w:rPr>
        <w:t xml:space="preserve">(30)</w:t>
      </w:r>
      <w:r>
        <w:t>[</w:t>
      </w:r>
      <w:r>
        <w:rPr>
          <w:strike w:val="true"/>
        </w:rPr>
        <w:t xml:space="preserve">(27)</w:t>
      </w:r>
      <w:r>
        <w:t>]</w:t>
      </w:r>
      <w:r>
        <w:t xml:space="preserve"> </w:t>
      </w:r>
      <w:r>
        <w:t xml:space="preserve">G01 - A pupil who graduates in less than four (4) years;</w:t>
      </w:r>
    </w:p>
    <w:p>
      <w:pPr>
        <w:pStyle w:val="kar_subsection"/>
      </w:pPr>
      <w:r>
        <w:rPr>
          <w:u w:val="single"/>
        </w:rPr>
        <w:t xml:space="preserve">(31)</w:t>
      </w:r>
      <w:r>
        <w:t>[</w:t>
      </w:r>
      <w:r>
        <w:rPr>
          <w:strike w:val="true"/>
        </w:rPr>
        <w:t xml:space="preserve">(28)</w:t>
      </w:r>
      <w:r>
        <w:t>]</w:t>
      </w:r>
      <w:r>
        <w:t xml:space="preserve"> </w:t>
      </w:r>
      <w:r>
        <w:t xml:space="preserve">G02 - A pupil who graduates in four (4) years;</w:t>
      </w:r>
    </w:p>
    <w:p>
      <w:pPr>
        <w:pStyle w:val="kar_subsection"/>
      </w:pPr>
      <w:r>
        <w:rPr>
          <w:u w:val="single"/>
        </w:rPr>
        <w:t xml:space="preserve">(32)</w:t>
      </w:r>
      <w:r>
        <w:t>[</w:t>
      </w:r>
      <w:r>
        <w:rPr>
          <w:strike w:val="true"/>
        </w:rPr>
        <w:t xml:space="preserve">(29)</w:t>
      </w:r>
      <w:r>
        <w:t>]</w:t>
      </w:r>
      <w:r>
        <w:t xml:space="preserve"> </w:t>
      </w:r>
      <w:r>
        <w:t xml:space="preserve">G03 - A pupil who graduates in five (5) or more years;</w:t>
      </w:r>
    </w:p>
    <w:p>
      <w:pPr>
        <w:pStyle w:val="kar_subsection"/>
      </w:pPr>
      <w:r>
        <w:rPr>
          <w:u w:val="single"/>
        </w:rPr>
        <w:t xml:space="preserve">(33)</w:t>
      </w:r>
      <w:r>
        <w:t>[</w:t>
      </w:r>
      <w:r>
        <w:rPr>
          <w:strike w:val="true"/>
        </w:rPr>
        <w:t xml:space="preserve">(30)</w:t>
      </w:r>
      <w:r>
        <w:t>]</w:t>
      </w:r>
      <w:r>
        <w:t xml:space="preserve"> </w:t>
      </w:r>
      <w:r>
        <w:t xml:space="preserve">G04 - A pupil who graduates in six (6) or more years; and</w:t>
      </w:r>
    </w:p>
    <w:p>
      <w:pPr>
        <w:pStyle w:val="kar_subsection"/>
      </w:pPr>
      <w:r>
        <w:rPr>
          <w:u w:val="single"/>
        </w:rPr>
        <w:t xml:space="preserve">(34)</w:t>
      </w:r>
      <w:r>
        <w:t>[</w:t>
      </w:r>
      <w:r>
        <w:rPr>
          <w:strike w:val="true"/>
        </w:rPr>
        <w:t xml:space="preserve">(31)</w:t>
      </w:r>
      <w:r>
        <w:t>]</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w:t>
      </w:r>
      <w:r>
        <w:t>[</w:t>
      </w:r>
      <w:r>
        <w:rPr>
          <w:strike w:val="true"/>
        </w:rPr>
        <w:t xml:space="preserve">(1) </w:t>
      </w:r>
      <w:r>
        <w:t>]</w:t>
      </w:r>
      <w:r>
        <w:t xml:space="preserve">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r>
        <w:rPr>
          <w:b/>
          <w:i/>
          <w:u w:val="single"/>
        </w:rPr>
        <w:t xml:space="preserv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d026545c6d4387" /><Relationship Type="http://schemas.openxmlformats.org/officeDocument/2006/relationships/settings" Target="/word/settings.xml" Id="Rc645e35b7d5d4d27" /></Relationships>
</file>