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83ff7eeb6c408e" /></Relationships>
</file>

<file path=word/document.xml><?xml version="1.0" encoding="utf-8"?>
<w:document xmlns:w="http://schemas.openxmlformats.org/wordprocessingml/2006/main">
  <w:body>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321.207, 321.235(7),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order, purchase, manage, and store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 and 321.240 authorize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Responsibilities of a Certified Animal Control Agency.</w:t>
      </w:r>
    </w:p>
    <w:p>
      <w:pPr>
        <w:pStyle w:val="kar_subsection"/>
      </w:pPr>
      <w:r>
        <w:t xml:space="preserve">(1)</w:t>
      </w:r>
      <w:r>
        <w:t xml:space="preserve"> </w:t>
      </w:r>
      <w:r>
        <w:t xml:space="preserve">A certified animal control agency and staff shall comply with all requirements of KRS Chapter 321 and the administrative regulations promulgated by the board under this chapter.</w:t>
      </w:r>
    </w:p>
    <w:p>
      <w:pPr>
        <w:pStyle w:val="kar_subsection"/>
      </w:pPr>
      <w:r>
        <w:t xml:space="preserve">(2)</w:t>
      </w:r>
      <w:r>
        <w:t xml:space="preserve"> </w:t>
      </w:r>
      <w:r>
        <w:t xml:space="preserve">A certified animal control agency shall identify an agency designated on-site manger and ensure the person complies with the requirements in Section 2 of this administrative regulation.</w:t>
      </w:r>
    </w:p>
    <w:p>
      <w:pPr>
        <w:pStyle w:val="kar_subsection"/>
      </w:pPr>
      <w:r>
        <w:t xml:space="preserve">(3)</w:t>
      </w:r>
      <w:r>
        <w:t xml:space="preserve"> </w:t>
      </w:r>
      <w:r>
        <w:t xml:space="preserve">Any change to the designated on-site manager shall be reported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A certified animal control agency shall ensure that the United States Drug Enforcement Administration (DEA) Controlled Substances Registration is kept in active status as long as there are controlled substances in the possession of the agency.</w:t>
      </w:r>
    </w:p>
    <w:p>
      <w:pPr>
        <w:pStyle w:val="kar_subsection"/>
      </w:pPr>
      <w:r>
        <w:t xml:space="preserve">(5)</w:t>
      </w:r>
      <w:r>
        <w:t xml:space="preserve"> </w:t>
      </w:r>
      <w:r>
        <w:t xml:space="preserve">A certified animal control agency shall submit to inspection by a board representative at any time, with or without advanced notice in accordance with 201 KAR 16:550, Section 5.</w:t>
      </w:r>
    </w:p>
    <w:p>
      <w:pPr>
        <w:pStyle w:val="kar_section"/>
      </w:pPr>
      <w:r>
        <w:t xml:space="preserve">Section 2.</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t xml:space="preserve">Shall develop and maintain standard operating procedures in writing for carcass disposal in accordance with all state and local laws and ordinances; and</w:t>
      </w:r>
    </w:p>
    <w:p>
      <w:pPr>
        <w:pStyle w:val="kar_paragraph"/>
      </w:pPr>
      <w:r>
        <w:t xml:space="preserve">(g)</w:t>
      </w:r>
      <w:r>
        <w:t xml:space="preserve"> </w:t>
      </w:r>
      <w:r>
        <w:t xml:space="preserve">Shall 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as defined in KRS 321.181.</w:t>
      </w:r>
    </w:p>
    <w:p>
      <w:pPr>
        <w:pStyle w:val="kar_subparagraph"/>
      </w:pPr>
      <w:r>
        <w:t xml:space="preserve">1.</w:t>
      </w:r>
      <w:r>
        <w:t xml:space="preserve"> </w:t>
      </w:r>
      <w:r>
        <w:t xml:space="preserve">Transfer of ownership or a temporary contract shall not be used for the purpose of circumventing this provision;</w:t>
      </w:r>
    </w:p>
    <w:p>
      <w:pPr>
        <w:pStyle w:val="kar_subparagraph"/>
      </w:pPr>
      <w:r>
        <w:t xml:space="preserve">2.</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paragraph"/>
      </w:pPr>
      <w:r>
        <w:t xml:space="preserve">(b)</w:t>
      </w:r>
      <w:r>
        <w:t xml:space="preserve"> </w:t>
      </w:r>
      <w:r>
        <w:t xml:space="preserve">Euthanasia shall only be conducted upon the premises of the certified animal control agency, except in cases of emergency as defined in KRS 321.181;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3.</w:t>
      </w:r>
      <w:r>
        <w:t xml:space="preserve"> </w:t>
      </w:r>
      <w:r>
        <w:t xml:space="preserve">Approved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specific drugs for the purpose of animal euthanasia. 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A certified animal control agency shall be restricted to the purchase of specific drugs for the purpose of animal anesthesia or sedation prior to euthanasia. 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(30-day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DEA's Schedule II order forms (titled "DEA-222") shall be used for each purchase or transfer of board approved controlled substances.</w:t>
      </w:r>
    </w:p>
    <w:p>
      <w:pPr>
        <w:pStyle w:val="kar_subsection"/>
      </w:pPr>
      <w:r>
        <w:t xml:space="preserve">(4)</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t xml:space="preserve">Section 4.</w:t>
      </w:r>
      <w:r>
        <w:t xml:space="preserve"> </w:t>
      </w:r>
      <w:r>
        <w:t xml:space="preserve">Storage.</w:t>
      </w:r>
    </w:p>
    <w:p>
      <w:pPr>
        <w:pStyle w:val="kar_subsection"/>
      </w:pPr>
      <w:r>
        <w:t xml:space="preserve">(1)</w:t>
      </w:r>
      <w:r>
        <w:t xml:space="preserve"> </w:t>
      </w:r>
      <w:r>
        <w:t xml:space="preserve">Board approved euthanasia and sedation drugs shall be stored in a securely locked cabinet within a locked storage room or other enclosure at the DEA address of record for the certified animal control agency. The cabinet shall be bolted securely to the floor or wall.</w:t>
      </w:r>
    </w:p>
    <w:p>
      <w:pPr>
        <w:pStyle w:val="kar_subsection"/>
      </w:pPr>
      <w:r>
        <w:t xml:space="preserve">(2)</w:t>
      </w:r>
      <w:r>
        <w:t xml:space="preserve"> </w:t>
      </w:r>
      <w:r>
        <w:t xml:space="preserve">DEA Controlled Substance Schedule II order forms shall be stored in a securely locked cabinet, separate from the storage location of the drugs, within a locked storage room or other enclosure at the DEA address of record for the certified animal control agency.</w:t>
      </w:r>
    </w:p>
    <w:p>
      <w:pPr>
        <w:pStyle w:val="kar_section"/>
      </w:pPr>
      <w:r>
        <w:t xml:space="preserve">Section 5.</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use, be rendered incapable of use;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6.</w:t>
      </w:r>
      <w:r>
        <w:t xml:space="preserve"> </w:t>
      </w:r>
      <w:r>
        <w:t xml:space="preserve">Records.</w:t>
      </w:r>
    </w:p>
    <w:p>
      <w:pPr>
        <w:pStyle w:val="kar_subsection"/>
      </w:pPr>
      <w:r>
        <w:t xml:space="preserve">(1)</w:t>
      </w:r>
      <w:r>
        <w:t xml:space="preserve"> </w:t>
      </w:r>
      <w:r>
        <w:t xml:space="preserve">A certified animal control agency shall maintain records of purchases, administration of board approved euthanasia drugs and sedation drugs, transfer, and destruction of drugs for a minimum of two (2) years.</w:t>
      </w:r>
    </w:p>
    <w:p>
      <w:pPr>
        <w:pStyle w:val="kar_subsection"/>
      </w:pPr>
      <w:r>
        <w:t xml:space="preserve">(2)</w:t>
      </w:r>
      <w:r>
        <w:t xml:space="preserve"> </w:t>
      </w:r>
      <w:r>
        <w:t xml:space="preserve">Records of administration shall include, at a minimum, the following information:</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approved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purchase and destruction of board approved euthanasia drugs and sedation drugs shall be maintained in a separate file from the records of administration of those substances.</w:t>
      </w:r>
    </w:p>
    <w:p>
      <w:pPr>
        <w:pStyle w:val="kar_subsection"/>
      </w:pPr>
      <w:r>
        <w:t xml:space="preserve">(4)</w:t>
      </w:r>
      <w:r>
        <w:t xml:space="preserve"> </w:t>
      </w:r>
      <w: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animal control agency.</w:t>
      </w:r>
    </w:p>
    <w:p>
      <w:pPr>
        <w:pStyle w:val="kar_section"/>
      </w:pPr>
      <w:r>
        <w:t xml:space="preserve">Section 7.</w:t>
      </w:r>
      <w:r>
        <w:t xml:space="preserve"> </w:t>
      </w:r>
      <w:r>
        <w:t xml:space="preserve">Destruction or Disposal of Drugs. Drugs at an animal control agency that require disposal shall be disposed of in accordance with one of the methods set forth in this section. A written receipt with appropriate signatures shall be obtained for methods (1) – (3), and a record of the action taken shall be made for method (4).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8.</w:t>
      </w:r>
      <w:r>
        <w:t xml:space="preserve"> </w:t>
      </w:r>
      <w:r>
        <w:t xml:space="preserve">Disciplinary Action. An animal control agency, designated on-site manager, and credentialed animal euthanasia specialists shall be subject to disciplinary action pursuant to KRS 321.235 and KRS 321.351 for a violation of state or federal statutes or administrative regulations.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"Request for a New Designated On-site Manager", 12/2022,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3d3757aa74f25" /><Relationship Type="http://schemas.openxmlformats.org/officeDocument/2006/relationships/settings" Target="/word/settings.xml" Id="R8426c500835542bb" /></Relationships>
</file>