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2a639b470244b2" /></Relationships>
</file>

<file path=word/document.xml><?xml version="1.0" encoding="utf-8"?>
<w:document xmlns:w="http://schemas.openxmlformats.org/wordprocessingml/2006/main">
  <w:body>
    <w:p>
      <w:pPr>
        <w:pStyle w:val="kar_citation"/>
      </w:pPr>
      <w:r>
        <w:t>704 KAR 8:120.</w:t>
      </w:r>
      <w:r>
        <w:t xml:space="preserve"> </w:t>
      </w:r>
      <w:r>
        <w:t xml:space="preserve">Required Kentucky Academic Standards for Science.</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156.070, 156.160, 158.6453, 160.290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requires the Kentucky Board of Education to manage and control the common schools and all assessment strategies developed under KRS 158.645, 158.6451, and 158.6453. KRS 156.070(1)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the review of academic standards and assessment with the advice of standards and assessments review and development committees. This administrative regulation incorporates by reference the Kentucky Academic Standards for Science, which contain the general courses of study and academic content standards of science,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Science.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Science", December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 a.m. to 4:30 p.m. This material may be viewed at: https://education.ky.gov/curriculum/standards/kyacadstand/Documents/Kentucky_Academic_Sadards_for_Science_2022.pdf.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a0787293d446ec" /><Relationship Type="http://schemas.openxmlformats.org/officeDocument/2006/relationships/settings" Target="/word/settings.xml" Id="Re259b317d0ec4394" /></Relationships>
</file>