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2f94f77614393" /></Relationships>
</file>

<file path=word/document.xml><?xml version="1.0" encoding="utf-8"?>
<w:document xmlns:w="http://schemas.openxmlformats.org/wordprocessingml/2006/main">
  <w:body>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321.207, 321.235, 321.351</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 requires the Kentucky Board of Veterinary Examiners to issue a certificate to a person who meets the qualifications of an animal euthanasia specialist and is approved by the board for a certificate. KRS 321.235 and 321.240 authorize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as defined in KRS 321.181.</w:t>
      </w:r>
    </w:p>
    <w:p>
      <w:pPr>
        <w:pStyle w:val="kar_paragraph"/>
      </w:pPr>
      <w:r>
        <w:t xml:space="preserve">(a)</w:t>
      </w:r>
      <w:r>
        <w:t xml:space="preserve"> </w:t>
      </w:r>
      <w:r>
        <w:t xml:space="preserve">Temporary transfer of ownership or a temporary contract shall not be used for the purpose of circumventing this provision;</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subsection"/>
      </w:pPr>
      <w:r>
        <w:t xml:space="preserve">(2)</w:t>
      </w:r>
      <w:r>
        <w:t xml:space="preserve"> </w:t>
      </w:r>
      <w:r>
        <w:t xml:space="preserve">Euthanasia shall only be conducted upon the premises of the certified animal control agency, except in cases of emergency as defined in KRS 321.181.</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7.</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 of this administrative regulation.</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 but only on an anesthetized or unconscious animal;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regulation, an animal euthanasia specialist shall be prohibited from practicing veterinary medicine.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3800b269942ed" /><Relationship Type="http://schemas.openxmlformats.org/officeDocument/2006/relationships/settings" Target="/word/settings.xml" Id="R823e69800f4b4569" /></Relationships>
</file>