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a100ecdbf6439f"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1:026E.</w:t>
      </w:r>
    </w:p>
    <w:p>
      <w:pPr>
        <w:pStyle w:val="kar_normal"/>
      </w:pPr>
      <w:r>
        <w:t xml:space="preserve">This emergency administrative regulation is being promulgated to incorporate and fully implement a received federal approval that extends coverage of audiology, dental, and vision coverage to all Medicaid recipients. Specifically, this emergency administrative regulation is being promulgated to expand dental services to adults throughout the Medicaid program. This administrative regulation is needed to be in effect prior to January 1, 2023 in order to ensure coverage of audiology, dental, and vision services for the upcoming calendar year. This emergency administrative regulation is needed pursuant to KRS 13A.190(1)(a)2. to preserve state and federal funding. Failure to implement the received federal approval and provide coverage for eligible recipients within a timely fashion could result in a loss of federal funds. In addition, the Department for Medicaid Services (DMS) needs this administrative regulation pursuant to KRS 13A.190(1)(a)1. to preserve the welfare of Medicaid recipients. Over 900,000 Medicaid recipients could immediately benefit from the availability of audiology, dental, and visual coverage. 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907 KAR 1:026E.</w:t>
      </w:r>
      <w:r>
        <w:t xml:space="preserve"> </w:t>
      </w:r>
      <w:r>
        <w:t xml:space="preserve">Dental services' coverage provisions and requirements.</w:t>
      </w:r>
    </w:p>
    <w:p>
      <w:pPr>
        <w:pStyle w:val="kar_markup_metadata"/>
      </w:pPr>
      <w:r>
        <w:t xml:space="preserve">EFFECTIVE: December 29, 2022</w:t>
      </w:r>
    </w:p>
    <w:p>
      <w:pPr>
        <w:pStyle w:val="kar_markup_metadata"/>
      </w:pPr>
      <w:r>
        <w:t xml:space="preserve">RELATES TO: </w:t>
      </w:r>
      <w:r>
        <w:t xml:space="preserve">KRS 205.520, 205.622, 205.8451, 313.010, 313.040, 369.102(8), 369.101 to 369.120, 415.152, 42 C.F.R. 400.203, 415.170, 415.172, 415.174, 438.2, 45 C.F.R. Parts 160 and 164, 42 U.S.C. 1320d,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interaction" means the billing dentist or oral surgeon is physically present with and evaluates, examines, treats, or diagnoses the recipient, unless the service can be appropriately performed via telehealth pursuant to 907 KAR 3:170.</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(12)</w:t>
      </w:r>
      <w:r>
        <w:t xml:space="preserve"> </w:t>
      </w:r>
      <w:r>
        <w:t xml:space="preserve">"Medically necessary" or "medical necessity" means that a covered benefit is determined to be needed in accordance with 907 KAR 3:130.</w:t>
      </w:r>
    </w:p>
    <w:p>
      <w:pPr>
        <w:pStyle w:val="kar_subsection"/>
      </w:pPr>
      <w:r>
        <w:t xml:space="preserve">(13)</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(14)</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(15)</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(16)</w:t>
      </w:r>
      <w:r>
        <w:t xml:space="preserve"> </w:t>
      </w:r>
      <w:r>
        <w:t xml:space="preserve">"Prior authorization" or "PA" means approval that a provider shall obtain from the department before being reimbursed for a covered service.</w:t>
      </w:r>
    </w:p>
    <w:p>
      <w:pPr>
        <w:pStyle w:val="kar_subsection"/>
      </w:pPr>
      <w:r>
        <w:t xml:space="preserve">(17)</w:t>
      </w:r>
      <w:r>
        <w:t xml:space="preserve"> </w:t>
      </w:r>
      <w:r>
        <w:t xml:space="preserve">"Provider" is defined by KRS 205.8451(7).</w:t>
      </w:r>
    </w:p>
    <w:p>
      <w:pPr>
        <w:pStyle w:val="kar_subsection"/>
      </w:pPr>
      <w:r>
        <w:t xml:space="preserve">(18)</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(19)</w:t>
      </w:r>
      <w:r>
        <w:t xml:space="preserve"> </w:t>
      </w:r>
      <w:r>
        <w:t xml:space="preserve">"Recipient" is defined by KRS 205.8451(9).</w:t>
      </w:r>
    </w:p>
    <w:p>
      <w:pPr>
        <w:pStyle w:val="kar_subsection"/>
      </w:pPr>
      <w:r>
        <w:t xml:space="preserve">(20)</w:t>
      </w:r>
      <w:r>
        <w:t xml:space="preserve"> </w:t>
      </w:r>
      <w:r>
        <w:t xml:space="preserve">"Resident" is defined by 42 C.F.R. 415.152.</w:t>
      </w:r>
    </w:p>
    <w:p>
      <w:pPr>
        <w:pStyle w:val="kar_subsection"/>
      </w:pPr>
      <w:r>
        <w:t xml:space="preserve">(21)</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p>
    <w:p>
      <w:pPr>
        <w:pStyle w:val="kar_paragraph"/>
      </w:pPr>
      <w:r>
        <w:t xml:space="preserve">(d)</w:t>
      </w:r>
      <w:r>
        <w:t xml:space="preserve"> </w:t>
      </w:r>
      <w:r>
        <w:t xml:space="preserve">Comply with all applicable state and federal laws; and</w:t>
      </w:r>
    </w:p>
    <w:p>
      <w:pPr>
        <w:pStyle w:val="kar_paragraph"/>
      </w:pPr>
      <w:r>
        <w:t xml:space="preserve">(e)</w:t>
      </w:r>
      <w:r>
        <w:t xml:space="preserve"> </w:t>
      </w:r>
      <w:r>
        <w:t xml:space="preserve">Meet all applicable medical and dental standards of practice.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(2) of this section, furnished to a recipient through direct practitioner interaction.</w:t>
      </w:r>
    </w:p>
    <w:p>
      <w:pPr>
        <w:pStyle w:val="kar_subsection"/>
      </w:pPr>
      <w:r>
        <w:t xml:space="preserve">(2)</w:t>
      </w:r>
      <w:r>
        <w:t xml:space="preserve"> </w:t>
      </w:r>
      <w:r>
        <w:t xml:space="preserve">A covered service provided by an other licensed medical professional (OLMP)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interaction with the recipient, except for a service provided by a dental hygienist if the dental hygienist provides the service under general supervision of a practitioner in accordance with KRS 313.040.</w:t>
      </w:r>
    </w:p>
    <w:p>
      <w:pPr>
        <w:pStyle w:val="kar_subsection"/>
      </w:pPr>
      <w:r>
        <w:t xml:space="preserve">(3)</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(4)</w:t>
      </w:r>
      <w:r>
        <w:t xml:space="preserve"> </w:t>
      </w:r>
      <w:r>
        <w:t xml:space="preserve">Preventative services provided by a public health hygienist shall be covered.</w:t>
      </w:r>
    </w:p>
    <w:p>
      <w:pPr>
        <w:pStyle w:val="kar_subsection"/>
      </w:pPr>
      <w:r>
        <w:t xml:space="preserve">(5)</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t xml:space="preserve">(6)</w:t>
      </w:r>
      <w:r>
        <w:t xml:space="preserve"> </w:t>
      </w:r>
      <w:r>
        <w:t xml:space="preserve">Coverage shall be limited to the procedures or services:</w:t>
      </w:r>
    </w:p>
    <w:p>
      <w:pPr>
        <w:pStyle w:val="kar_paragraph"/>
      </w:pPr>
      <w:r>
        <w:t xml:space="preserve">(a)</w:t>
      </w:r>
      <w:r>
        <w:t xml:space="preserve"> </w:t>
      </w:r>
      <w:r>
        <w:t xml:space="preserve">Identified and established on the DMS Dental Fee Schedule; or</w:t>
      </w:r>
    </w:p>
    <w:p>
      <w:pPr>
        <w:pStyle w:val="kar_paragraph"/>
      </w:pPr>
      <w:r>
        <w:t xml:space="preserve">(b)</w:t>
      </w:r>
      <w:r>
        <w:t xml:space="preserve"> </w:t>
      </w:r>
      <w:r>
        <w:t xml:space="preserve">Established in this administrative regulation.</w:t>
      </w:r>
    </w:p>
    <w:p>
      <w:pPr>
        <w:pStyle w:val="kar_subsection"/>
      </w:pPr>
      <w:r>
        <w:t xml:space="preserve">(7)</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Each six (6) and twelve (12) year molar once every four (4) years with a lifetime limit of three (3) sealants per tooth, per recipient; and</w:t>
      </w:r>
    </w:p>
    <w:p>
      <w:pPr>
        <w:pStyle w:val="kar_subparagraph"/>
      </w:pPr>
      <w:r>
        <w:t xml:space="preserve">2.</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shallrequire the following:</w:t>
      </w:r>
    </w:p>
    <w:p>
      <w:pPr>
        <w:pStyle w:val="kar_subparagraph"/>
      </w:pPr>
      <w:r>
        <w:t xml:space="preserve">1.</w:t>
      </w:r>
      <w:r>
        <w:t xml:space="preserve"> </w:t>
      </w:r>
      <w:r>
        <w:t xml:space="preserve">Fabrication;</w:t>
      </w:r>
    </w:p>
    <w:p>
      <w:pPr>
        <w:pStyle w:val="kar_subparagraph"/>
      </w:pPr>
      <w:r>
        <w:t xml:space="preserve">2.</w:t>
      </w:r>
      <w:r>
        <w:t xml:space="preserve"> </w:t>
      </w:r>
      <w:r>
        <w:t xml:space="preserve">Insertion;</w:t>
      </w:r>
    </w:p>
    <w:p>
      <w:pPr>
        <w:pStyle w:val="kar_subparagraph"/>
      </w:pPr>
      <w:r>
        <w:t xml:space="preserve">3.</w:t>
      </w:r>
      <w:r>
        <w:t xml:space="preserve"> </w:t>
      </w:r>
      <w:r>
        <w:t xml:space="preserve">Follow-up visits;</w:t>
      </w:r>
    </w:p>
    <w:p>
      <w:pPr>
        <w:pStyle w:val="kar_subparagraph"/>
      </w:pPr>
      <w:r>
        <w:t xml:space="preserve">4.</w:t>
      </w:r>
      <w:r>
        <w:t xml:space="preserve"> </w:t>
      </w:r>
      <w:r>
        <w:t xml:space="preserve">Adjustments; and</w:t>
      </w:r>
    </w:p>
    <w:p>
      <w:pPr>
        <w:pStyle w:val="kar_subparagraph"/>
      </w:pPr>
      <w:r>
        <w:t xml:space="preserve">5.</w:t>
      </w:r>
      <w:r>
        <w:t xml:space="preserve"> </w:t>
      </w:r>
      <w:r>
        <w:t xml:space="preserve">Documentation in the recipient's medical record to:</w:t>
      </w:r>
    </w:p>
    <w:p>
      <w:pPr>
        <w:pStyle w:val="kar_clause"/>
      </w:pPr>
      <w:r>
        <w:t xml:space="preserve">a.</w:t>
      </w:r>
      <w:r>
        <w:t xml:space="preserve"> </w:t>
      </w:r>
      <w:r>
        <w:t xml:space="preserve">Substantiate the use for maintenance of existing interdental space; and</w:t>
      </w:r>
    </w:p>
    <w:p>
      <w:pPr>
        <w:pStyle w:val="kar_clause"/>
      </w:pPr>
      <w:r>
        <w:t xml:space="preserve">b.</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 xml:space="preserve">A therapeutic pulpotomy shall not be covered if performed in conjunction with root canal therapy.</w:t>
      </w:r>
    </w:p>
    <w:p>
      <w:pPr>
        <w:pStyle w:val="kar_subsection"/>
      </w:pPr>
      <w:r>
        <w:t xml:space="preserve">(2)</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 Periodontal scaling and root planing shall not be covered if performed in conjunction with dental prophylaxis. </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(2)</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(3)</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and</w:t>
      </w:r>
    </w:p>
    <w:p>
      <w:pPr>
        <w:pStyle w:val="kar_paragraph"/>
      </w:pPr>
      <w:r>
        <w:t xml:space="preserve">(c)</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Orthodontic braces shall be limited to recipients under the age of twenty-one (21) years.</w:t>
      </w:r>
    </w:p>
    <w:p>
      <w:pPr>
        <w:pStyle w:val="kar_subsection"/>
      </w:pPr>
      <w:r>
        <w:t xml:space="preserve">(5)</w:t>
      </w:r>
      <w:r>
        <w:t xml:space="preserve"> </w:t>
      </w:r>
      <w:r>
        <w:t xml:space="preserve">Space maintainers shall be allowed for adults when:</w:t>
      </w:r>
    </w:p>
    <w:p>
      <w:pPr>
        <w:pStyle w:val="kar_paragraph"/>
      </w:pPr>
      <w:r>
        <w:t xml:space="preserve">(a)</w:t>
      </w:r>
      <w:r>
        <w:t xml:space="preserve"> </w:t>
      </w:r>
      <w:r>
        <w:t xml:space="preserve">There has been an extraction or lost tooth;</w:t>
      </w:r>
    </w:p>
    <w:p>
      <w:pPr>
        <w:pStyle w:val="kar_paragraph"/>
      </w:pPr>
      <w:r>
        <w:t xml:space="preserve">(b)</w:t>
      </w:r>
      <w:r>
        <w:t xml:space="preserve"> </w:t>
      </w:r>
      <w:r>
        <w:t xml:space="preserve">A permanent tooth is waiting for a partial;</w:t>
      </w:r>
    </w:p>
    <w:p>
      <w:pPr>
        <w:pStyle w:val="kar_paragraph"/>
      </w:pPr>
      <w:r>
        <w:t xml:space="preserve">(c)</w:t>
      </w:r>
      <w:r>
        <w:t xml:space="preserve"> </w:t>
      </w:r>
      <w:r>
        <w:t xml:space="preserve">In preparation for an implant, if an implant is medically necessary and approved;</w:t>
      </w:r>
    </w:p>
    <w:p>
      <w:pPr>
        <w:pStyle w:val="kar_paragraph"/>
      </w:pPr>
      <w:r>
        <w:t xml:space="preserve">(d)</w:t>
      </w:r>
      <w:r>
        <w:t xml:space="preserve"> </w:t>
      </w:r>
      <w:r>
        <w:t xml:space="preserve">A third molar is partially erupted; or</w:t>
      </w:r>
    </w:p>
    <w:p>
      <w:pPr>
        <w:pStyle w:val="kar_paragraph"/>
      </w:pPr>
      <w:r>
        <w:t xml:space="preserve">(e)</w:t>
      </w:r>
      <w:r>
        <w:t xml:space="preserve"> </w:t>
      </w:r>
      <w:r>
        <w:t xml:space="preserve">There is a congenitally missing tooth.</w:t>
      </w:r>
    </w:p>
    <w:p>
      <w:pPr>
        <w:pStyle w:val="kar_subsection"/>
      </w:pPr>
      <w:r>
        <w:t xml:space="preserve">(6)</w:t>
      </w:r>
      <w:r>
        <w:t xml:space="preserve"> </w:t>
      </w:r>
      <w:r>
        <w:t xml:space="preserve">The department shall only cover new orthodontic brackets or appliances.</w:t>
      </w:r>
    </w:p>
    <w:p>
      <w:pPr>
        <w:pStyle w:val="kar_subsection"/>
      </w:pPr>
      <w:r>
        <w:t xml:space="preserve">(7)</w:t>
      </w:r>
      <w:r>
        <w:t xml:space="preserve"> </w:t>
      </w:r>
      <w:r>
        <w:t xml:space="preserve">An appliance for minor tooth guidance shall not be covered for the control of harmful habits.</w:t>
      </w:r>
    </w:p>
    <w:p>
      <w:pPr>
        <w:pStyle w:val="kar_subsection"/>
      </w:pPr>
      <w:r>
        <w:t xml:space="preserve">(8)</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(9)</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(10)</w:t>
      </w:r>
      <w:r>
        <w:t xml:space="preserve"> </w:t>
      </w:r>
      <w:r>
        <w:t xml:space="preserve">Coverage of comprehensive orthodontic treatment shall not include orthognathic surgery.</w:t>
      </w:r>
    </w:p>
    <w:p>
      <w:pPr>
        <w:pStyle w:val="kar_subsection"/>
      </w:pPr>
      <w:r>
        <w:t xml:space="preserve">(11)</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(8)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(12)</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 or</w:t>
      </w:r>
    </w:p>
    <w:p>
      <w:pPr>
        <w:pStyle w:val="kar_subparagraph"/>
      </w:pPr>
      <w:r>
        <w:t xml:space="preserve">2.</w:t>
      </w:r>
      <w:r>
        <w:t xml:space="preserve"> </w:t>
      </w:r>
      <w:r>
        <w:t xml:space="preserve">Comprehensive oral evaluation.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 as necessary, an age limit related prior authorization may continue to be enforced.</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located at https://chfs.ky.gov/agencies/dms/dpo/bpb/Pages/dental.aspx.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99c6869f5b4dd2" /><Relationship Type="http://schemas.openxmlformats.org/officeDocument/2006/relationships/settings" Target="/word/settings.xml" Id="R6d280e7f3164425a" /></Relationships>
</file>