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6457d3975f42c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Nursing</w:t>
      </w:r>
    </w:p>
    <w:p>
      <w:pPr>
        <w:pStyle w:val="kar_markup_header"/>
        <w:ind w:firstLine="0"/>
      </w:pPr>
      <w:r>
        <w:t>(Amendment)</w:t>
      </w:r>
    </w:p>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w:t>
      </w:r>
      <w:r>
        <w:t>[</w:t>
      </w:r>
      <w:r>
        <w:rPr>
          <w:strike w:val="true"/>
        </w:rPr>
        <w:t xml:space="preserve"> and includes establishing provisions for discipline and further regulating as necessary</w:t>
      </w:r>
      <w:r>
        <w:t>]</w:t>
      </w:r>
      <w:r>
        <w:t xml:space="preserve">.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rPr>
          <w:u w:val="single"/>
        </w:rPr>
        <w:t xml:space="preserve">(b)</w:t>
      </w:r>
      <w:r>
        <w:t xml:space="preserve"> </w:t>
      </w:r>
      <w:r>
        <w:rPr>
          <w:u w:val="single"/>
        </w:rPr>
        <w:t xml:space="preserve">Preparation and access of central venous catheters, if the dialysis technician has six (6) months experience that includes training and skills validation regarding central venous catheters;</w:t>
      </w:r>
    </w:p>
    <w:p>
      <w:pPr>
        <w:pStyle w:val="kar_paragraph"/>
      </w:pPr>
      <w:r>
        <w:rPr>
          <w:u w:val="single"/>
        </w:rPr>
        <w:t xml:space="preserve">(c)</w:t>
      </w:r>
      <w:r>
        <w:t>[</w:t>
      </w:r>
      <w:r>
        <w:rPr>
          <w:strike w:val="true"/>
        </w:rPr>
        <w:t xml:space="preserve">(b)</w:t>
      </w:r>
      <w:r>
        <w:t>]</w:t>
      </w:r>
      <w:r>
        <w:t xml:space="preserve"> </w:t>
      </w:r>
      <w:r>
        <w:t xml:space="preserve">Initiating, delivering, or discontinuing dialysis care;</w:t>
      </w:r>
    </w:p>
    <w:p>
      <w:pPr>
        <w:pStyle w:val="kar_paragraph"/>
      </w:pPr>
      <w:r>
        <w:rPr>
          <w:u w:val="single"/>
        </w:rPr>
        <w:t xml:space="preserve">(d)</w:t>
      </w:r>
      <w:r>
        <w:t>[</w:t>
      </w:r>
      <w:r>
        <w:rPr>
          <w:strike w:val="true"/>
        </w:rPr>
        <w:t xml:space="preserve">(c)</w:t>
      </w:r>
      <w:r>
        <w:t>]</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rPr>
          <w:u w:val="single"/>
        </w:rPr>
        <w:t xml:space="preserve">(e)</w:t>
      </w:r>
      <w:r>
        <w:t>[</w:t>
      </w:r>
      <w:r>
        <w:rPr>
          <w:strike w:val="true"/>
        </w:rPr>
        <w:t xml:space="preserve">(d)</w:t>
      </w:r>
      <w:r>
        <w:t>]</w:t>
      </w:r>
      <w:r>
        <w:t xml:space="preserve"> </w:t>
      </w:r>
      <w:r>
        <w:t xml:space="preserve">Assistance to the registered nurse in data collection;</w:t>
      </w:r>
    </w:p>
    <w:p>
      <w:pPr>
        <w:pStyle w:val="kar_paragraph"/>
      </w:pPr>
      <w:r>
        <w:rPr>
          <w:u w:val="single"/>
        </w:rPr>
        <w:t xml:space="preserve">(f)</w:t>
      </w:r>
      <w:r>
        <w:t>[</w:t>
      </w:r>
      <w:r>
        <w:rPr>
          <w:strike w:val="true"/>
        </w:rPr>
        <w:t xml:space="preserve">(e)</w:t>
      </w:r>
      <w:r>
        <w:t>]</w:t>
      </w:r>
      <w:r>
        <w:t xml:space="preserve"> </w:t>
      </w:r>
      <w:r>
        <w:t xml:space="preserve">Obtaining a blood specimen via a dialysis line or a peripheral access site;</w:t>
      </w:r>
    </w:p>
    <w:p>
      <w:pPr>
        <w:pStyle w:val="kar_paragraph"/>
      </w:pPr>
      <w:r>
        <w:rPr>
          <w:u w:val="single"/>
        </w:rPr>
        <w:t xml:space="preserve">(g)</w:t>
      </w:r>
      <w:r>
        <w:t>[</w:t>
      </w:r>
      <w:r>
        <w:rPr>
          <w:strike w:val="true"/>
        </w:rPr>
        <w:t xml:space="preserve">(f)</w:t>
      </w:r>
      <w:r>
        <w:t>]</w:t>
      </w:r>
      <w:r>
        <w:t xml:space="preserve"> </w:t>
      </w:r>
      <w:r>
        <w:t xml:space="preserve">Responding to complications that arise in conjunction with dialysis care; and</w:t>
      </w:r>
    </w:p>
    <w:p>
      <w:pPr>
        <w:pStyle w:val="kar_paragraph"/>
      </w:pPr>
      <w:r>
        <w:rPr>
          <w:u w:val="single"/>
        </w:rPr>
        <w:t xml:space="preserve">(h)</w:t>
      </w:r>
      <w:r>
        <w:t>[</w:t>
      </w:r>
      <w:r>
        <w:rPr>
          <w:strike w:val="true"/>
        </w:rPr>
        <w:t xml:space="preserve">(g)</w:t>
      </w:r>
      <w:r>
        <w:t>]</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w:t>
      </w:r>
      <w:r>
        <w:rPr>
          <w:u w:val="single"/>
        </w:rPr>
        <w:t xml:space="preserve">determined</w:t>
      </w:r>
      <w:r>
        <w:t>[</w:t>
      </w:r>
      <w:r>
        <w:rPr>
          <w:strike w:val="true"/>
        </w:rPr>
        <w:t xml:space="preserve">found</w:t>
      </w:r>
      <w:r>
        <w:t>]</w:t>
      </w:r>
      <w:r>
        <w:t xml:space="preserve"> by the registered nurse to be critical, fluctuating, unstable, or unpredictable;</w:t>
      </w:r>
    </w:p>
    <w:p>
      <w:pPr>
        <w:pStyle w:val="kar_paragraph"/>
      </w:pPr>
      <w:r>
        <w:t xml:space="preserve">(b)</w:t>
      </w:r>
      <w:r>
        <w:t xml:space="preserve"> </w:t>
      </w:r>
      <w:r>
        <w:t xml:space="preserve">The connection and disconnection of patients from, and the site care and catheter port preparation of, percutaneously or surgically inserted central venous catheters</w:t>
      </w:r>
      <w:r>
        <w:rPr>
          <w:u w:val="single"/>
        </w:rPr>
        <w:t xml:space="preserve">, except as provided in Section 1(1)(b) of this administrative regulation</w:t>
      </w:r>
      <w:r>
        <w:t xml:space="preserve">;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w:t>
      </w:r>
      <w:r>
        <w:rPr>
          <w:u w:val="single"/>
        </w:rPr>
        <w:t xml:space="preserve">shall have the authority to</w:t>
      </w:r>
      <w:r>
        <w:t>[</w:t>
      </w:r>
      <w:r>
        <w:rPr>
          <w:strike w:val="true"/>
        </w:rPr>
        <w:t xml:space="preserve">may</w:t>
      </w:r>
      <w:r>
        <w:t>]</w:t>
      </w:r>
      <w:r>
        <w:t xml:space="preserve">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w:t>
      </w:r>
      <w:r>
        <w:t>[</w:t>
      </w:r>
      <w:r>
        <w:rPr>
          <w:strike w:val="true"/>
        </w:rPr>
        <w:t xml:space="preserve">, as incorporated by reference in 201 KAR 20:476,</w:t>
      </w:r>
      <w:r>
        <w:t>]</w:t>
      </w:r>
      <w:r>
        <w:t xml:space="preserve">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w:t>
      </w:r>
      <w:r>
        <w:t>[</w:t>
      </w:r>
      <w:r>
        <w:rPr>
          <w:strike w:val="true"/>
        </w:rPr>
        <w:t xml:space="preserve">, as incorporated by reference in 201 KAR 20:476</w:t>
      </w:r>
      <w:r>
        <w:t>]</w:t>
      </w:r>
      <w:r>
        <w:t xml:space="preserve">.</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t>[</w:t>
      </w:r>
      <w:r>
        <w:rPr>
          <w:strike w:val="true"/>
        </w:rPr>
        <w:t xml:space="preserve">A</w:t>
      </w:r>
      <w:r>
        <w:t>]</w:t>
      </w:r>
      <w:r>
        <w:rPr>
          <w:u w:val="single"/>
        </w:rPr>
        <w:t xml:space="preserve">Any</w:t>
      </w:r>
      <w:r>
        <w:t xml:space="preserve">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rPr>
          <w:u w:val="single"/>
        </w:rPr>
        <w:t xml:space="preserve">Any</w:t>
      </w:r>
      <w:r>
        <w:t>[</w:t>
      </w:r>
      <w:r>
        <w:rPr>
          <w:strike w:val="true"/>
        </w:rPr>
        <w:t xml:space="preserve">A</w:t>
      </w:r>
      <w:r>
        <w:t>]</w:t>
      </w:r>
      <w:r>
        <w:t xml:space="preserve">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rPr>
          <w:u w:val="single"/>
        </w:rPr>
        <w:t xml:space="preserve">Any</w:t>
      </w:r>
      <w:r>
        <w:t>[</w:t>
      </w:r>
      <w:r>
        <w:rPr>
          <w:strike w:val="true"/>
        </w:rPr>
        <w:t xml:space="preserve">A</w:t>
      </w:r>
      <w:r>
        <w:t>]</w:t>
      </w:r>
      <w:r>
        <w:t xml:space="preserve">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w:t>
      </w:r>
      <w:r>
        <w:rPr>
          <w:u w:val="single"/>
        </w:rPr>
        <w:t xml:space="preserve">, unless due to circumstances beyond the person's control,</w:t>
      </w:r>
      <w:r>
        <w:t xml:space="preserve"> the board </w:t>
      </w:r>
      <w:r>
        <w:rPr>
          <w:u w:val="single"/>
        </w:rPr>
        <w:t xml:space="preserve">shall</w:t>
      </w:r>
      <w:r>
        <w:t>[</w:t>
      </w:r>
      <w:r>
        <w:rPr>
          <w:strike w:val="true"/>
        </w:rPr>
        <w:t xml:space="preserve">may</w:t>
      </w:r>
      <w:r>
        <w:t>]</w:t>
      </w:r>
      <w:r>
        <w:t xml:space="preserve">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pPr>
      <w:r>
        <w:t xml:space="preserve">(6)</w:t>
      </w:r>
      <w:r>
        <w:t xml:space="preserve"> </w:t>
      </w:r>
      <w:r>
        <w:t xml:space="preserve">Due process procedures, including appeal, pertaining to this administrative regulation shall be conducted in accordance with KRS Chapter 13B.</w:t>
      </w:r>
    </w:p>
    <w:p>
      <w:pPr>
        <w:pStyle w:val="kar_signature"/>
      </w:pPr>
      <w:r>
        <w:t xml:space="preserve">AUDRIA DENKER, President</w:t>
      </w:r>
    </w:p>
    <w:p>
      <w:pPr>
        <w:pStyle w:val="kar_normal"/>
      </w:pPr>
      <w:r>
        <w:t xml:space="preserve"/>
      </w:r>
    </w:p>
    <w:p>
      <w:pPr>
        <w:pStyle w:val="kar_approved_by"/>
      </w:pPr>
      <w:r>
        <w:t xml:space="preserve">APPROVED BY AGENCY: December 15, 2022</w:t>
      </w:r>
    </w:p>
    <w:p>
      <w:pPr>
        <w:pStyle w:val="kar_filed"/>
      </w:pPr>
      <w:r>
        <w:t xml:space="preserve">FILED WITH LRC: January 11, 2023 at 12:13 p.m.</w:t>
      </w:r>
    </w:p>
    <w:p>
      <w:pPr>
        <w:pStyle w:val="kar_normal"/>
      </w:pPr>
      <w:r>
        <w:t xml:space="preserve"/>
      </w:r>
    </w:p>
    <w:p>
      <w:pPr>
        <w:pStyle w:val="kar_comment_period"/>
      </w:pPr>
      <w:r>
        <w:t xml:space="preserve">PUBLIC HEARING AND PUBLIC COMMENT PERIOD: A public hearing on this administrative regulation shall be held on March 22, 2023 at 10:00 a.m. at Kentucky Board of Nursing, 312 Whittington Parkway, Ste 300, Louisville, Kentucky 40222. Individuals interested in being heard at this hearing shall notify this agency in writing by March 15,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scope of practice and disciplinary procedures for Dialysis Technicians (DTs).</w:t>
      </w:r>
    </w:p>
    <w:p>
      <w:pPr>
        <w:pStyle w:val="kar_normal"/>
        <w:ind w:left="576"/>
      </w:pPr>
      <w:r>
        <w:t xml:space="preserve">(b) The necessity of this administrative regulation:</w:t>
      </w:r>
    </w:p>
    <w:p>
      <w:pPr>
        <w:pStyle w:val="kar_normal"/>
        <w:ind w:left="720"/>
      </w:pPr>
      <w:r>
        <w:t xml:space="preserve">This regulation is necessary pursuant to KRS 314.137.</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content of KRS 314.137 by regulating scope of practice, discipline, and miscellaneous requirements applicable to DTs.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the effective administration of KRS 314.021 and KRS 314.137, by regulating scope of practice, discipline, and miscellaneous requirements applicable to DTs.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that DTs may prepare and access of central venous catheters, if they have six months training and experience regarding central venous catheters;</w:t>
      </w:r>
    </w:p>
    <w:p>
      <w:pPr>
        <w:pStyle w:val="kar_normal"/>
        <w:ind w:left="576"/>
      </w:pPr>
      <w:r>
        <w:t xml:space="preserve">(b) The necessity of the amendment to this administrative regulation:</w:t>
      </w:r>
    </w:p>
    <w:p>
      <w:pPr>
        <w:pStyle w:val="kar_normal"/>
        <w:ind w:left="720"/>
      </w:pPr>
      <w:r>
        <w:t xml:space="preserve">To clarify the DT scope of practice.</w:t>
      </w:r>
    </w:p>
    <w:p>
      <w:pPr>
        <w:pStyle w:val="kar_normal"/>
        <w:ind w:left="576"/>
      </w:pPr>
      <w:r>
        <w:t xml:space="preserve">(c) How the amendment conforms to the content of the authorizing statutes:</w:t>
      </w:r>
    </w:p>
    <w:p>
      <w:pPr>
        <w:pStyle w:val="kar_normal"/>
        <w:ind w:left="720"/>
      </w:pPr>
      <w:r>
        <w:t xml:space="preserve">The regulation conforms to the content of the authorizing statutes, KRS 314.131(1) and KRS 314.137.</w:t>
      </w:r>
    </w:p>
    <w:p>
      <w:pPr>
        <w:pStyle w:val="kar_normal"/>
        <w:ind w:left="576"/>
      </w:pPr>
      <w:r>
        <w:t xml:space="preserve">(d) How the amendment will assist in the effective administration of the statutes:</w:t>
      </w:r>
    </w:p>
    <w:p>
      <w:pPr>
        <w:pStyle w:val="kar_normal"/>
        <w:ind w:left="720"/>
      </w:pPr>
      <w:r>
        <w:t xml:space="preserve">The regulation will assist in the effective administration of KRS 314.021 and KRS 314.137, by amending scope of practice.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700 dialysis technicians with a current and active Kentucky DT credential and seven DT training programs that are located and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DT training programs will need to validate six-months training for DTs engaged in preparing and accessing central venous catheters.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w:t>
      </w:r>
    </w:p>
    <w:p>
      <w:pPr>
        <w:pStyle w:val="kar_normal"/>
        <w:ind w:left="576"/>
      </w:pPr>
      <w:r>
        <w:t xml:space="preserve">(c) As a result of compliance, what benefits will accrue to the entities identified in question (3):</w:t>
      </w:r>
    </w:p>
    <w:p>
      <w:pPr>
        <w:pStyle w:val="kar_normal"/>
        <w:ind w:left="720"/>
      </w:pPr>
      <w:r>
        <w:t xml:space="preserve">The DTs with the appropriate experience and training will have an expanded scope of practice to facilitate dialysis treatment care.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 establish or increase fees.</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KRS 314.137.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additional cost savings.</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0cdf463bc4b69" /><Relationship Type="http://schemas.openxmlformats.org/officeDocument/2006/relationships/settings" Target="/word/settings.xml" Id="R8307ac4911cd499a" /></Relationships>
</file>