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9fab0a6e5c4ed6"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at ARRS Committee)</w:t>
      </w:r>
    </w:p>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w:t>
      </w:r>
      <w:r>
        <w:rPr>
          <w:b/>
          <w:i/>
          <w:u w:val="single"/>
        </w:rPr>
        <w:t xml:space="preserve">16.505 to 16.652 and </w:t>
      </w:r>
      <w:r>
        <w:t xml:space="preserve">61.510 to 61.705</w:t>
      </w:r>
      <w:r>
        <w:t>[</w:t>
      </w:r>
      <w:r>
        <w:rPr>
          <w:b/>
          <w:i/>
          <w:strike w:val="true"/>
        </w:rPr>
        <w:t xml:space="preserve"> and 16.505 to 16.652</w:t>
      </w:r>
      <w:r>
        <w:t>]</w:t>
      </w:r>
      <w:r>
        <w:t xml:space="preserve">,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w:t>
      </w:r>
      <w:r>
        <w:rPr>
          <w:b/>
          <w:i/>
          <w:u w:val="single"/>
        </w:rPr>
        <w:t xml:space="preserve">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Unless otherwise defined in this section, the definitions contained in KRS 61.510 and the definition of "non-core services independent contractor" in KRS 61.5991 shall apply to this administrative regulation.</w:t>
      </w:r>
      <w:r>
        <w:t>]</w:t>
      </w:r>
    </w:p>
    <w:p>
      <w:pPr>
        <w:pStyle w:val="kar_subsection"/>
      </w:pPr>
      <w:r>
        <w:t>[</w:t>
      </w:r>
      <w:r>
        <w:rPr>
          <w:b/>
          <w:i/>
          <w:strike w:val="true"/>
        </w:rPr>
        <w:t xml:space="preserve">(2)</w:t>
      </w:r>
      <w:r>
        <w:t>]</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rPr>
          <w:b/>
          <w:i/>
          <w:u w:val="single"/>
        </w:rPr>
        <w:t xml:space="preserve">(2)</w:t>
      </w:r>
      <w:r>
        <w:t>[</w:t>
      </w:r>
      <w:r>
        <w:rPr>
          <w:b/>
          <w:i/>
          <w:strike w:val="true"/>
        </w:rPr>
        <w:t xml:space="preserve">(3)</w:t>
      </w:r>
      <w:r>
        <w:t>]</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rPr>
          <w:b/>
          <w:i/>
          <w:u w:val="single"/>
        </w:rPr>
        <w:t xml:space="preserve">(3)</w:t>
      </w:r>
      <w:r>
        <w:t>[</w:t>
      </w:r>
      <w:r>
        <w:rPr>
          <w:b/>
          <w:i/>
          <w:strike w:val="true"/>
        </w:rPr>
        <w:t xml:space="preserve">(4)</w:t>
      </w:r>
      <w:r>
        <w:t>]</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rPr>
          <w:b/>
          <w:i/>
          <w:u w:val="single"/>
        </w:rPr>
        <w:t xml:space="preserve">(4)</w:t>
      </w:r>
      <w:r>
        <w:t>[</w:t>
      </w:r>
      <w:r>
        <w:rPr>
          <w:b/>
          <w:i/>
          <w:strike w:val="true"/>
        </w:rPr>
        <w:t xml:space="preserve">(5)</w:t>
      </w:r>
      <w:r>
        <w:t>]</w:t>
      </w:r>
      <w:r>
        <w:t xml:space="preserve"> </w:t>
      </w:r>
      <w:r>
        <w:t xml:space="preserve">"Direct employment" means employees reported by the quasi-governmental employer in accordance with KRS 61.675 and 105 KAR 1:140.</w:t>
      </w:r>
    </w:p>
    <w:p>
      <w:pPr>
        <w:pStyle w:val="kar_subsection"/>
      </w:pPr>
      <w:r>
        <w:rPr>
          <w:b/>
          <w:i/>
          <w:u w:val="single"/>
        </w:rPr>
        <w:t xml:space="preserve">(5)</w:t>
      </w:r>
      <w:r>
        <w:t xml:space="preserve"> </w:t>
      </w:r>
      <w:r>
        <w:rPr>
          <w:b/>
          <w:i/>
          <w:u w:val="single"/>
        </w:rPr>
        <w:t xml:space="preserve">"Employee" is defined by KRS 61.510(5).</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rPr>
          <w:b/>
          <w:i/>
          <w:u w:val="single"/>
        </w:rPr>
        <w:t xml:space="preserve">"Fiscal year" is defined by KRS 61.510(19).</w:t>
      </w:r>
    </w:p>
    <w:p>
      <w:pPr>
        <w:pStyle w:val="kar_subsection"/>
      </w:pPr>
      <w:r>
        <w:rPr>
          <w:b/>
          <w:i/>
          <w:u w:val="single"/>
        </w:rPr>
        <w:t xml:space="preserve">(8)</w:t>
      </w:r>
      <w:r>
        <w:t xml:space="preserve"> </w:t>
      </w:r>
      <w:r>
        <w:t xml:space="preserve">"KPPA" means the administrative staff of the Kentucky Public Pensions Authority.</w:t>
      </w:r>
    </w:p>
    <w:p>
      <w:pPr>
        <w:pStyle w:val="kar_subsection"/>
      </w:pPr>
      <w:r>
        <w:rPr>
          <w:b/>
          <w:i/>
          <w:u w:val="single"/>
        </w:rPr>
        <w:t xml:space="preserve">(9)</w:t>
      </w:r>
      <w:r>
        <w:t xml:space="preserve"> </w:t>
      </w:r>
      <w:r>
        <w:rPr>
          <w:b/>
          <w:i/>
          <w:u w:val="single"/>
        </w:rP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rPr>
          <w:b/>
          <w:i/>
          <w:u w:val="single"/>
        </w:rPr>
        <w:t xml:space="preserve">(10)</w:t>
      </w:r>
      <w:r>
        <w:t xml:space="preserve"> </w:t>
      </w:r>
      <w:r>
        <w:rPr>
          <w:b/>
          <w:i/>
          <w:u w:val="single"/>
        </w:rPr>
        <w:t xml:space="preserve">"Non-core services independent contractor" is defined by KRS 61.5991(9).</w:t>
      </w:r>
    </w:p>
    <w:p>
      <w:pPr>
        <w:pStyle w:val="kar_subsection"/>
      </w:pPr>
      <w:r>
        <w:rPr>
          <w:b/>
          <w:i/>
          <w:u w:val="single"/>
        </w:rPr>
        <w:t xml:space="preserve">(11)</w:t>
      </w:r>
      <w:r>
        <w:t>[</w:t>
      </w:r>
      <w:r>
        <w:rPr>
          <w:b/>
          <w:i/>
          <w:strike w:val="true"/>
        </w:rPr>
        <w:t xml:space="preserve">(8)</w:t>
      </w:r>
      <w:r>
        <w:t>]</w:t>
      </w:r>
      <w:r>
        <w:t xml:space="preserve"> </w:t>
      </w:r>
      <w:r>
        <w:t xml:space="preserve">"Other employment arrangement"</w:t>
      </w:r>
      <w:r>
        <w:rPr>
          <w:b/>
          <w:i/>
          <w:u w:val="single"/>
        </w:rPr>
        <w:t xml:space="preserve">:</w:t>
      </w:r>
    </w:p>
    <w:p>
      <w:pPr>
        <w:pStyle w:val="kar_paragraph"/>
      </w:pPr>
      <w:r>
        <w:rPr>
          <w:b/>
          <w:i/>
          <w:u w:val="single"/>
        </w:rPr>
        <w:t xml:space="preserve">(a)</w:t>
      </w:r>
      <w:r>
        <w:t xml:space="preserve"> </w:t>
      </w:r>
      <w:r>
        <w:t xml:space="preserve">Means any written agreement between a quasi-governmental employer and a third party (including</w:t>
      </w:r>
      <w:r>
        <w:t>[</w:t>
      </w:r>
      <w:r>
        <w:rPr>
          <w:b/>
          <w:i/>
          <w:strike w:val="true"/>
        </w:rPr>
        <w:t xml:space="preserve">, but not limited to,</w:t>
      </w:r>
      <w:r>
        <w:t>]</w:t>
      </w:r>
      <w:r>
        <w:t xml:space="preserve"> a person, company, or other legal entity) for one (1) or more persons to provide services for the quasi-governmental employer in exchange for the third party receiving monetary compensation, remuneration, or profit</w:t>
      </w:r>
      <w:r>
        <w:rPr>
          <w:b/>
          <w:i/>
          <w:u w:val="single"/>
        </w:rPr>
        <w:t xml:space="preserve">; and</w:t>
      </w:r>
      <w:r>
        <w:t>[</w:t>
      </w:r>
      <w:r>
        <w:rPr>
          <w:b/>
          <w:i/>
          <w:strike w:val="true"/>
        </w:rPr>
        <w:t xml:space="preserve">.</w:t>
      </w:r>
      <w:r>
        <w:t>]</w:t>
      </w:r>
    </w:p>
    <w:p>
      <w:pPr>
        <w:pStyle w:val="kar_paragraph"/>
      </w:pPr>
      <w:r>
        <w:rPr>
          <w:b/>
          <w:i/>
          <w:u w:val="single"/>
        </w:rPr>
        <w:t xml:space="preserve">(b)</w:t>
      </w:r>
      <w:r>
        <w:t xml:space="preserve"> </w:t>
      </w:r>
      <w:r>
        <w:t>[</w:t>
      </w:r>
      <w:r>
        <w:rPr>
          <w:b/>
          <w:i/>
          <w:strike w:val="true"/>
        </w:rPr>
        <w:t xml:space="preserve">"Other employment arrangement" </w:t>
      </w:r>
      <w:r>
        <w:t>]</w:t>
      </w:r>
      <w:r>
        <w:t xml:space="preserve">Does not </w:t>
      </w:r>
      <w:r>
        <w:rPr>
          <w:b/>
          <w:i/>
          <w:u w:val="single"/>
        </w:rPr>
        <w:t xml:space="preserve">mean</w:t>
      </w:r>
      <w:r>
        <w:t>[</w:t>
      </w:r>
      <w:r>
        <w:rPr>
          <w:b/>
          <w:i/>
          <w:strike w:val="true"/>
        </w:rPr>
        <w:t xml:space="preserve">include</w:t>
      </w:r>
      <w:r>
        <w:t>]</w:t>
      </w:r>
      <w:r>
        <w:t xml:space="preserve">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w:t>
      </w:r>
      <w:r>
        <w:t>[</w:t>
      </w:r>
      <w:r>
        <w:rPr>
          <w:b/>
          <w:i/>
          <w:strike w:val="true"/>
        </w:rPr>
        <w:t xml:space="preserve"> as defined in KRS 61.510(21)</w:t>
      </w:r>
      <w:r>
        <w:t>]</w:t>
      </w:r>
      <w:r>
        <w:t xml:space="preserve"> if the persons were directly employed by the quasi-governmental employer.</w:t>
      </w:r>
    </w:p>
    <w:p>
      <w:pPr>
        <w:pStyle w:val="kar_subsection"/>
      </w:pPr>
      <w:r>
        <w:rPr>
          <w:b/>
          <w:i/>
          <w:u w:val="single"/>
        </w:rPr>
        <w:t xml:space="preserve">(12)</w:t>
      </w:r>
      <w:r>
        <w:t>[</w:t>
      </w:r>
      <w:r>
        <w:rPr>
          <w:b/>
          <w:i/>
          <w:strike w:val="true"/>
        </w:rPr>
        <w:t xml:space="preserve">(9)</w:t>
      </w:r>
      <w:r>
        <w:t>]</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rPr>
          <w:b/>
          <w:i/>
          <w:u w:val="single"/>
        </w:rPr>
        <w:t xml:space="preserve">(13)</w:t>
      </w:r>
      <w:r>
        <w:t>[</w:t>
      </w:r>
      <w:r>
        <w:rPr>
          <w:b/>
          <w:i/>
          <w:strike w:val="true"/>
        </w:rPr>
        <w:t xml:space="preserve">(10)</w:t>
      </w:r>
      <w:r>
        <w:t>]</w:t>
      </w:r>
      <w:r>
        <w:t xml:space="preserve"> </w:t>
      </w:r>
      <w:r>
        <w:t xml:space="preserve">"Quasi-governmental employer"</w:t>
      </w:r>
      <w:r>
        <w:rPr>
          <w:b/>
          <w:i/>
          <w:u w:val="single"/>
        </w:rPr>
        <w:t xml:space="preserve">:</w:t>
      </w:r>
    </w:p>
    <w:p>
      <w:pPr>
        <w:pStyle w:val="kar_paragraph"/>
      </w:pPr>
      <w:r>
        <w:rPr>
          <w:b/>
          <w:i/>
          <w:u w:val="single"/>
        </w:rP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w:t>
      </w:r>
      <w:r>
        <w:rPr>
          <w:b/>
          <w:i/>
          <w:u w:val="single"/>
        </w:rPr>
        <w:t xml:space="preserve">; and</w:t>
      </w:r>
      <w:r>
        <w:t>[</w:t>
      </w:r>
      <w:r>
        <w:rPr>
          <w:b/>
          <w:i/>
          <w:strike w:val="true"/>
        </w:rPr>
        <w:t xml:space="preserve">.</w:t>
      </w:r>
      <w:r>
        <w:t>]</w:t>
      </w:r>
    </w:p>
    <w:p>
      <w:pPr>
        <w:pStyle w:val="kar_paragraph"/>
      </w:pPr>
      <w:r>
        <w:rPr>
          <w:b/>
          <w:i/>
          <w:u w:val="single"/>
        </w:rPr>
        <w:t xml:space="preserve">(b)</w:t>
      </w:r>
      <w:r>
        <w:t xml:space="preserve"> </w:t>
      </w:r>
      <w:r>
        <w:t>[</w:t>
      </w:r>
      <w:r>
        <w:rPr>
          <w:b/>
          <w:i/>
          <w:strike w:val="true"/>
        </w:rPr>
        <w:t xml:space="preserve">For the purpose of this administrative regulation, "quasi-governmental employer" </w:t>
      </w:r>
      <w:r>
        <w:t>]</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ubsection"/>
      </w:pPr>
      <w:r>
        <w:rPr>
          <w:b/>
          <w:i/>
          <w:u w:val="single"/>
        </w:rPr>
        <w:t xml:space="preserve">(14)</w:t>
      </w:r>
      <w:r>
        <w:t xml:space="preserve"> </w:t>
      </w:r>
      <w:r>
        <w:rPr>
          <w:b/>
          <w:i/>
          <w:u w:val="single"/>
        </w:rPr>
        <w:t xml:space="preserve">"Regular full-time position" is defined by KRS 61.510(21).</w:t>
      </w:r>
    </w:p>
    <w:p>
      <w:pPr>
        <w:pStyle w:val="kar_subsection"/>
      </w:pPr>
      <w:r>
        <w:t>[</w:t>
      </w:r>
      <w:r>
        <w:rPr>
          <w:b/>
          <w:i/>
          <w:strike w:val="true"/>
          <w:u w:val="single"/>
        </w:rPr>
        <w:t xml:space="preserve">(14)</w:t>
      </w:r>
      <w:r>
        <w:t>]</w:t>
      </w:r>
      <w:r>
        <w:t xml:space="preserve"> </w:t>
      </w:r>
      <w:r>
        <w:t>[</w:t>
      </w:r>
      <w:r>
        <w:rPr>
          <w:b/>
          <w:i/>
          <w:strike w:val="true"/>
          <w:u w:val="single"/>
        </w:rPr>
        <w:t xml:space="preserve">(11</w:t>
      </w:r>
      <w:r>
        <w:t>]</w:t>
      </w:r>
      <w:r>
        <w:rPr>
          <w:b/>
          <w:i/>
          <w:u w:val="single"/>
        </w:rPr>
        <w:t xml:space="preserve">)</w:t>
      </w:r>
      <w:r>
        <w:t xml:space="preserve">]</w:t>
      </w:r>
      <w:r>
        <w:t>[</w:t>
      </w:r>
      <w:r>
        <w:rPr>
          <w:b/>
          <w:i/>
          <w:strike w:val="true"/>
          <w:u w:val="single"/>
        </w:rPr>
        <w:t xml:space="preserve"> "Noncompliant" means the quasi-governmental employer falsifies, fails to provide, or withholds all, or a portion of, the required documentation or information within the time periods prescribed by this administrative regulation.</w:t>
      </w:r>
      <w:r>
        <w:t>]</w:t>
      </w:r>
    </w:p>
    <w:p>
      <w:pPr>
        <w:pStyle w:val="kar_section"/>
      </w:pPr>
      <w:r>
        <w:t xml:space="preserve">Section 2.</w:t>
      </w:r>
      <w:r>
        <w:t xml:space="preserve"> </w:t>
      </w:r>
      <w:r>
        <w:t xml:space="preserve">Required Form for Annual Reporting.</w:t>
      </w:r>
    </w:p>
    <w:p>
      <w:pPr>
        <w:pStyle w:val="kar_subsection"/>
      </w:pPr>
      <w:r>
        <w:t xml:space="preserve">(1)</w:t>
      </w:r>
      <w:r>
        <w:t xml:space="preserve"> </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r>
        <w:t xml:space="preserve"> </w:t>
      </w:r>
    </w:p>
    <w:p>
      <w:pPr>
        <w:pStyle w:val="kar_paragraph"/>
      </w:pPr>
      <w:r>
        <w:t xml:space="preserve">(a)</w:t>
      </w:r>
      <w:r>
        <w:t xml:space="preserve"> </w:t>
      </w:r>
      <w:r>
        <w:t xml:space="preserve">Persons exempted under Sections 5 and 6 </w:t>
      </w:r>
      <w:r>
        <w:rPr>
          <w:b/>
          <w:i/>
          <w:u w:val="single"/>
        </w:rPr>
        <w:t xml:space="preserve">of this administrative regulation </w:t>
      </w:r>
      <w:r>
        <w:t xml:space="preserve">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w:t>
      </w:r>
      <w:r>
        <w:t>[</w:t>
      </w:r>
      <w:r>
        <w:rPr>
          <w:b/>
          <w:i/>
          <w:strike w:val="true"/>
        </w:rPr>
        <w:t xml:space="preserve"> pursuant to KRS 61.510(21)</w:t>
      </w:r>
      <w:r>
        <w:t>]</w:t>
      </w:r>
      <w:r>
        <w:t xml:space="preserve">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w:t>
      </w:r>
      <w:r>
        <w:rPr>
          <w:b/>
          <w:i/>
          <w:u w:val="single"/>
        </w:rPr>
        <w:t xml:space="preserve">subsection </w:t>
      </w:r>
      <w:r>
        <w:t>[</w:t>
      </w:r>
      <w:r>
        <w:rPr>
          <w:b/>
          <w:i/>
          <w:strike w:val="true"/>
          <w:u w:val="single"/>
        </w:rPr>
        <w:t xml:space="preserve">Section 2</w:t>
      </w:r>
      <w:r>
        <w:t>]</w:t>
      </w:r>
      <w:r>
        <w:t xml:space="preserve">(1)(b) of this </w:t>
      </w:r>
      <w:r>
        <w:rPr>
          <w:b/>
          <w:i/>
          <w:u w:val="single"/>
        </w:rPr>
        <w:t xml:space="preserve">section</w:t>
      </w:r>
      <w:r>
        <w:t>[</w:t>
      </w:r>
      <w:r>
        <w:rPr>
          <w:b/>
          <w:i/>
          <w:strike w:val="true"/>
        </w:rPr>
        <w:t xml:space="preserve">administrative regulation</w:t>
      </w:r>
      <w:r>
        <w:t>]</w:t>
      </w:r>
      <w:r>
        <w:t xml:space="preserve">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w:t>
      </w:r>
      <w:r>
        <w:rPr>
          <w:b/>
          <w:i/>
          <w:u w:val="single"/>
        </w:rPr>
        <w:t xml:space="preserve">established</w:t>
      </w:r>
      <w:r>
        <w:t>[</w:t>
      </w:r>
      <w:r>
        <w:rPr>
          <w:b/>
          <w:i/>
          <w:strike w:val="true"/>
        </w:rPr>
        <w:t xml:space="preserve">set forth</w:t>
      </w:r>
      <w:r>
        <w:t>]</w:t>
      </w:r>
      <w:r>
        <w:t xml:space="preserve"> in subsections (1), (2), and (5) of this section.</w:t>
      </w:r>
    </w:p>
    <w:p>
      <w:pPr>
        <w:pStyle w:val="kar_subsection"/>
      </w:pPr>
      <w:r>
        <w:t xml:space="preserve">(5)</w:t>
      </w:r>
      <w:r>
        <w:t xml:space="preserve"> </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w:t>
      </w:r>
      <w:r>
        <w:rPr>
          <w:b/>
          <w:i/>
          <w:u w:val="single"/>
        </w:rPr>
        <w:t xml:space="preserve">;</w:t>
      </w:r>
      <w:r>
        <w:t>[</w:t>
      </w:r>
      <w:r>
        <w:rPr>
          <w:b/>
          <w:i/>
          <w:strike w:val="true"/>
        </w:rPr>
        <w:t xml:space="preserve">,</w:t>
      </w:r>
      <w:r>
        <w:t>]</w:t>
      </w:r>
      <w:r>
        <w:t xml:space="preserve">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w:t>
      </w:r>
      <w:r>
        <w:rPr>
          <w:b/>
          <w:i/>
          <w:u w:val="single"/>
        </w:rPr>
        <w:t xml:space="preserve">61.5991(2)(a)2., </w:t>
      </w:r>
      <w:r>
        <w:t xml:space="preserve">61.675, </w:t>
      </w:r>
      <w:r>
        <w:rPr>
          <w:b/>
          <w:i/>
          <w:u w:val="single"/>
        </w:rPr>
        <w:t xml:space="preserve">and </w:t>
      </w:r>
      <w:r>
        <w:t xml:space="preserve">61.685</w:t>
      </w:r>
      <w:r>
        <w:t>[</w:t>
      </w:r>
      <w:r>
        <w:rPr>
          <w:b/>
          <w:i/>
          <w:strike w:val="true"/>
        </w:rPr>
        <w:t xml:space="preserve">, and 61.5991(2)(a)2.</w:t>
      </w:r>
      <w:r>
        <w:t>]</w:t>
      </w:r>
      <w:r>
        <w:rPr>
          <w:b/>
          <w:u w:val="single"/>
        </w:rPr>
        <w:t xml:space="preserve">:</w:t>
      </w:r>
      <w:r>
        <w:t>[</w:t>
      </w:r>
      <w:r>
        <w:rPr>
          <w:b/>
          <w:strike w:val="true"/>
        </w:rPr>
        <w:t xml:space="preserve">,</w:t>
      </w:r>
      <w:r>
        <w:t>]</w:t>
      </w:r>
    </w:p>
    <w:p>
      <w:pPr>
        <w:pStyle w:val="kar_paragraph"/>
      </w:pPr>
      <w:r>
        <w:rPr>
          <w:b/>
          <w:u w:val="single"/>
        </w:rPr>
        <w:t xml:space="preserve">(a)</w:t>
      </w:r>
      <w:r>
        <w:t xml:space="preserve"> </w:t>
      </w:r>
      <w:r>
        <w:rPr>
          <w:b/>
          <w:u w:val="single"/>
        </w:rPr>
        <w:t xml:space="preserve">If</w:t>
      </w:r>
      <w:r>
        <w:t>[</w:t>
      </w:r>
      <w:r>
        <w:rPr>
          <w:b/>
          <w:strike w:val="true"/>
        </w:rPr>
        <w:t xml:space="preserve">if</w:t>
      </w:r>
      <w:r>
        <w:t>]</w:t>
      </w:r>
      <w:r>
        <w:t xml:space="preserve">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paragraph"/>
      </w:pPr>
      <w:r>
        <w:rPr>
          <w:b/>
          <w:u w:val="single"/>
        </w:rPr>
        <w:t xml:space="preserve">(b)</w:t>
      </w:r>
      <w:r>
        <w:t xml:space="preserve"> </w:t>
      </w:r>
      <w:r>
        <w:rPr>
          <w:b/>
          <w:u w:val="single"/>
        </w:rPr>
        <w:t xml:space="preserve">If the KPPA discovers persons performing services as an independent contractor or leased employee for quasi-governmental employer in multiple part-time positions that, </w:t>
      </w:r>
      <w:r>
        <w:rPr>
          <w:b/>
          <w:i/>
          <w:u w:val="single"/>
        </w:rPr>
        <w:t xml:space="preserve">if</w:t>
      </w:r>
      <w:r>
        <w:t>[</w:t>
      </w:r>
      <w:r>
        <w:rPr>
          <w:b/>
          <w:i/>
          <w:strike w:val="true"/>
          <w:u w:val="single"/>
        </w:rPr>
        <w:t xml:space="preserve">when</w:t>
      </w:r>
      <w:r>
        <w:t>]</w:t>
      </w:r>
      <w:r>
        <w:rPr>
          <w:b/>
          <w:u w:val="single"/>
        </w:rPr>
        <w:t xml:space="preserve"> combined, constitute a "regular full-time position"</w:t>
      </w:r>
      <w:r>
        <w:t>[</w:t>
      </w:r>
      <w:r>
        <w:rPr>
          <w:b/>
          <w:i/>
          <w:strike w:val="true"/>
          <w:u w:val="single"/>
        </w:rPr>
        <w:t xml:space="preserve"> as defined in KRS 61.510(21)</w:t>
      </w:r>
      <w:r>
        <w:t>]</w:t>
      </w:r>
      <w:r>
        <w:rPr>
          <w:b/>
          <w:u w:val="single"/>
        </w:rPr>
        <w:t xml:space="preserve">, then KPPA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w:t>
      </w:r>
      <w:r>
        <w:rPr>
          <w:b/>
          <w:i/>
          <w:u w:val="single"/>
        </w:rPr>
        <w:t xml:space="preserve">Forms 6756</w:t>
      </w:r>
      <w:r>
        <w:t>[</w:t>
      </w:r>
      <w:r>
        <w:rPr>
          <w:b/>
          <w:i/>
          <w:strike w:val="true"/>
        </w:rPr>
        <w:t xml:space="preserve">Form 6756s</w:t>
      </w:r>
      <w:r>
        <w:t>]</w:t>
      </w:r>
      <w:r>
        <w:t xml:space="preserve">, Annual Employer Certification of Non-Contributing Service Providers, should be reported as employees in regular full-time positions</w:t>
      </w:r>
      <w:r>
        <w:t>[</w:t>
      </w:r>
      <w:r>
        <w:rPr>
          <w:b/>
          <w:i/>
          <w:strike w:val="true"/>
        </w:rPr>
        <w:t xml:space="preserve"> in accordance with KRS 61.510(5) and 61.510(21)</w:t>
      </w:r>
      <w:r>
        <w:t>]</w:t>
      </w:r>
      <w:r>
        <w:t xml:space="preserve"> and which persons listed on the initial and supplemental </w:t>
      </w:r>
      <w:r>
        <w:rPr>
          <w:b/>
          <w:i/>
          <w:u w:val="single"/>
        </w:rPr>
        <w:t xml:space="preserve">Forms 6756</w:t>
      </w:r>
      <w:r>
        <w:t>[</w:t>
      </w:r>
      <w:r>
        <w:rPr>
          <w:b/>
          <w:i/>
          <w:strike w:val="true"/>
        </w:rPr>
        <w:t xml:space="preserve">Form 6756s</w:t>
      </w:r>
      <w:r>
        <w:t>]</w:t>
      </w:r>
      <w:r>
        <w:t xml:space="preserve">,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(IRS), in accordance with IRS Publication 1779, to determine whether a person listed on the initial and supplemental </w:t>
      </w:r>
      <w:r>
        <w:rPr>
          <w:b/>
          <w:i/>
          <w:u w:val="single"/>
        </w:rPr>
        <w:t xml:space="preserve">Forms 6756</w:t>
      </w:r>
      <w:r>
        <w:t>[</w:t>
      </w:r>
      <w:r>
        <w:rPr>
          <w:b/>
          <w:i/>
          <w:strike w:val="true"/>
        </w:rPr>
        <w:t xml:space="preserve">Form 6756s</w:t>
      </w:r>
      <w:r>
        <w:t>]</w:t>
      </w:r>
      <w:r>
        <w:t xml:space="preserve">, Annual Employer Certification of Non-Contributing Service Providers, is an employee of the quasi-governmental employer </w:t>
      </w:r>
      <w:r>
        <w:t>[</w:t>
      </w:r>
      <w:r>
        <w:rPr>
          <w:b/>
          <w:i/>
          <w:strike w:val="true"/>
        </w:rPr>
        <w:t xml:space="preserve">pursuant to KRS 61.510(5) </w:t>
      </w:r>
      <w:r>
        <w:t>]</w:t>
      </w:r>
      <w:r>
        <w:t xml:space="preserve">or an independent contractor of the quasi-governmental employer.</w:t>
      </w:r>
    </w:p>
    <w:p>
      <w:pPr>
        <w:pStyle w:val="kar_subsection"/>
      </w:pPr>
      <w:r>
        <w:t xml:space="preserve">(3)</w:t>
      </w:r>
      <w:r>
        <w:t xml:space="preserve"> </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w:t>
      </w:r>
      <w:r>
        <w:t>[</w:t>
      </w:r>
      <w:r>
        <w:rPr>
          <w:b/>
          <w:i/>
          <w:strike w:val="true"/>
        </w:rPr>
        <w:t xml:space="preserve"> pursuant to KRS 61.510(5) and 61.510(21)</w:t>
      </w:r>
      <w:r>
        <w:t>]</w:t>
      </w:r>
      <w:r>
        <w:t xml:space="preserve">,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w:t>
      </w:r>
      <w:r>
        <w:t>[</w:t>
      </w:r>
      <w:r>
        <w:rPr>
          <w:b/>
          <w:i/>
          <w:strike w:val="true"/>
        </w:rPr>
        <w:t xml:space="preserve"> pursuant to KRS 61.510(5) and 61.510(21)</w:t>
      </w:r>
      <w:r>
        <w:t>]</w:t>
      </w:r>
      <w:r>
        <w:t xml:space="preserve">, then the quasi-governmental employer shall</w:t>
      </w:r>
      <w:r>
        <w:t>[</w:t>
      </w:r>
      <w:r>
        <w:rPr>
          <w:b/>
          <w:i/>
          <w:strike w:val="true"/>
        </w:rPr>
        <w:t xml:space="preserve"> be required to</w:t>
      </w:r>
      <w:r>
        <w:t>]</w:t>
      </w:r>
      <w:r>
        <w:t xml:space="preserve">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w:t>
      </w:r>
      <w:r>
        <w:t>[</w:t>
      </w:r>
      <w:r>
        <w:rPr>
          <w:b/>
          <w:i/>
          <w:strike w:val="true"/>
        </w:rPr>
        <w:t xml:space="preserve"> pursuant to KRS 61.510(5) and 61.510(21)</w:t>
      </w:r>
      <w:r>
        <w:t>]</w:t>
      </w:r>
      <w:r>
        <w:t xml:space="preserve">, then the quasi-governmental employer also shall</w:t>
      </w:r>
      <w:r>
        <w:t>[</w:t>
      </w:r>
      <w:r>
        <w:rPr>
          <w:b/>
          <w:i/>
          <w:strike w:val="true"/>
        </w:rPr>
        <w:t xml:space="preserve"> be required to</w:t>
      </w:r>
      <w:r>
        <w:t>]</w:t>
      </w:r>
      <w:r>
        <w:t xml:space="preserve">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w:t>
      </w:r>
      <w:r>
        <w:t>[</w:t>
      </w:r>
      <w:r>
        <w:rPr>
          <w:b/>
          <w:i/>
          <w:strike w:val="true"/>
        </w:rPr>
        <w:t xml:space="preserve"> pursuant to KRS 61.510(5) and 61.510(21)</w:t>
      </w:r>
      <w:r>
        <w:t>]</w:t>
      </w:r>
      <w:r>
        <w:t xml:space="preserve"> for previous periods that were not reported by the quasi-governmental employer in accordance with KRS </w:t>
      </w:r>
      <w:r>
        <w:rPr>
          <w:b/>
          <w:i/>
          <w:u w:val="single"/>
        </w:rPr>
        <w:t xml:space="preserve">61.543, KRS </w:t>
      </w:r>
      <w:r>
        <w:t xml:space="preserve">61.675</w:t>
      </w:r>
      <w:r>
        <w:t>[</w:t>
      </w:r>
      <w:r>
        <w:rPr>
          <w:b/>
          <w:i/>
          <w:strike w:val="true"/>
        </w:rPr>
        <w:t xml:space="preserve">, KRS 61.543</w:t>
      </w:r>
      <w:r>
        <w:t>]</w:t>
      </w:r>
      <w:r>
        <w:t xml:space="preserve">,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w:t>
      </w:r>
      <w:r>
        <w:t>[</w:t>
      </w:r>
      <w:r>
        <w:rPr>
          <w:b/>
          <w:i/>
          <w:strike w:val="true"/>
        </w:rPr>
        <w:t xml:space="preserve"> pursuant to KRS 61.510(5) and 61.510(21)</w:t>
      </w:r>
      <w:r>
        <w:t>]</w:t>
      </w:r>
      <w:r>
        <w:t xml:space="preserve"> for previous periods that were not reported by the quasi-governmental employer in accordance with KRS </w:t>
      </w:r>
      <w:r>
        <w:rPr>
          <w:b/>
          <w:i/>
          <w:u w:val="single"/>
        </w:rPr>
        <w:t xml:space="preserve">61.543, KRS </w:t>
      </w:r>
      <w:r>
        <w:t xml:space="preserve">61.675, </w:t>
      </w:r>
      <w:r>
        <w:t>[</w:t>
      </w:r>
      <w:r>
        <w:rPr>
          <w:b/>
          <w:i/>
          <w:strike w:val="true"/>
        </w:rPr>
        <w:t xml:space="preserve">KRS 61.543, </w:t>
      </w:r>
      <w:r>
        <w:t>]</w:t>
      </w:r>
      <w:r>
        <w:t xml:space="preserve">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rPr>
          <w:b/>
          <w:i/>
          <w:u w:val="single"/>
        </w:rPr>
        <w:t xml:space="preserve">For</w:t>
      </w:r>
      <w:r>
        <w:t>[</w:t>
      </w:r>
      <w:r>
        <w:rPr>
          <w:b/>
          <w:i/>
          <w:strike w:val="true"/>
        </w:rPr>
        <w:t xml:space="preserve">Effective with</w:t>
      </w:r>
      <w:r>
        <w:t>]</w:t>
      </w:r>
      <w:r>
        <w:t xml:space="preserve"> the fiscal year beginning July 1, 2021, and for each fiscal year thereafter, quasi-governmental employers shall be notified by the KPPA of the determination of which persons should be reported as employees in regular full-time positions</w:t>
      </w:r>
      <w:r>
        <w:t>[</w:t>
      </w:r>
      <w:r>
        <w:rPr>
          <w:b/>
          <w:i/>
          <w:strike w:val="true"/>
        </w:rPr>
        <w:t xml:space="preserve"> in accordance with KRS 61.510(5) and 61.510(21)</w:t>
      </w:r>
      <w:r>
        <w:t>]</w:t>
      </w:r>
      <w:r>
        <w:t xml:space="preserve"> no later than </w:t>
      </w:r>
      <w:r>
        <w:rPr>
          <w:b/>
          <w:u w:val="single"/>
        </w:rPr>
        <w:t xml:space="preserve">September 30 of the subsequent fiscal year</w:t>
      </w:r>
      <w:r>
        <w:t>[</w:t>
      </w:r>
      <w:r>
        <w:rPr>
          <w:b/>
          <w:strike w:val="true"/>
        </w:rPr>
        <w:t xml:space="preserve">the submission of the report to the state budget director's office and the Legislative Research Commission required by KRS 61.5991(3)</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w:t>
      </w:r>
      <w:r>
        <w:t>[</w:t>
      </w:r>
      <w:r>
        <w:rPr>
          <w:b/>
          <w:i/>
          <w:strike w:val="true"/>
        </w:rPr>
        <w:t xml:space="preserve"> in accordance with KRS 61.510(5) and 61.510(21)</w:t>
      </w:r>
      <w:r>
        <w:t>]</w:t>
      </w:r>
      <w:r>
        <w:t xml:space="preserve"> in one (1) notification letter.</w:t>
      </w:r>
    </w:p>
    <w:p>
      <w:pPr>
        <w:pStyle w:val="kar_paragraph"/>
      </w:pPr>
      <w:r>
        <w:t xml:space="preserve">(b)</w:t>
      </w:r>
      <w:r>
        <w:t xml:space="preserve"> </w:t>
      </w:r>
      <w:r>
        <w:t xml:space="preserve">The notification shall be sent to </w:t>
      </w:r>
      <w:r>
        <w:rPr>
          <w:b/>
          <w:i/>
          <w:u w:val="single"/>
        </w:rPr>
        <w:t xml:space="preserve">the </w:t>
      </w:r>
      <w:r>
        <w:t xml:space="preserve">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w:t>
      </w:r>
      <w:r>
        <w:t>[</w:t>
      </w:r>
      <w:r>
        <w:rPr>
          <w:b/>
          <w:i/>
          <w:strike w:val="true"/>
        </w:rPr>
        <w:t xml:space="preserve"> be required to</w:t>
      </w:r>
      <w:r>
        <w:t>]</w:t>
      </w:r>
      <w:r>
        <w:t xml:space="preserve">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w:t>
      </w:r>
      <w:r>
        <w:t>[</w:t>
      </w:r>
      <w:r>
        <w:rPr>
          <w:b/>
          <w:i/>
          <w:strike w:val="true"/>
        </w:rPr>
        <w:t xml:space="preserve"> be required to</w:t>
      </w:r>
      <w:r>
        <w:t>]</w:t>
      </w:r>
      <w:r>
        <w:t xml:space="preserve">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w:t>
      </w:r>
      <w:r>
        <w:t>[</w:t>
      </w:r>
      <w:r>
        <w:rPr>
          <w:b/>
          <w:i/>
          <w:strike w:val="true"/>
        </w:rPr>
        <w:t xml:space="preserve"> be required to</w:t>
      </w:r>
      <w:r>
        <w:t>]</w:t>
      </w:r>
      <w:r>
        <w:t xml:space="preserve">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w:t>
      </w:r>
      <w:r>
        <w:rPr>
          <w:b/>
          <w:i/>
          <w:u w:val="single"/>
        </w:rPr>
        <w:t xml:space="preserve">These</w:t>
      </w:r>
      <w:r>
        <w:t>[</w:t>
      </w:r>
      <w:r>
        <w:rPr>
          <w:b/>
          <w:i/>
          <w:strike w:val="true"/>
        </w:rPr>
        <w:t xml:space="preserve">Such</w:t>
      </w:r>
      <w:r>
        <w:t>]</w:t>
      </w:r>
      <w:r>
        <w:t xml:space="preserve">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w:t>
      </w:r>
      <w:r>
        <w:rPr>
          <w:b/>
          <w:i/>
          <w:u w:val="single"/>
        </w:rPr>
        <w:t xml:space="preserve">Forms 6756</w:t>
      </w:r>
      <w:r>
        <w:t>[</w:t>
      </w:r>
      <w:r>
        <w:rPr>
          <w:b/>
          <w:i/>
          <w:strike w:val="true"/>
        </w:rPr>
        <w:t xml:space="preserve">Form 6756s</w:t>
      </w:r>
      <w:r>
        <w:t>]</w:t>
      </w:r>
      <w:r>
        <w:t xml:space="preserve">,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w:t>
      </w:r>
      <w:r>
        <w:rPr>
          <w:b/>
          <w:i/>
          <w:u w:val="single"/>
        </w:rPr>
        <w:t xml:space="preserve">material is</w:t>
      </w:r>
      <w:r>
        <w:t>[</w:t>
      </w:r>
      <w:r>
        <w:rPr>
          <w:b/>
          <w:i/>
          <w:strike w:val="true"/>
        </w:rPr>
        <w:t xml:space="preserve">materials are</w:t>
      </w:r>
      <w:r>
        <w:t>]</w:t>
      </w:r>
      <w:r>
        <w:t xml:space="preserve"> incorporated by reference:</w:t>
      </w:r>
    </w:p>
    <w:p>
      <w:pPr>
        <w:pStyle w:val="kar_paragraph"/>
      </w:pPr>
      <w:r>
        <w:rPr>
          <w:b/>
          <w:u w:val="single"/>
        </w:rPr>
        <w:t xml:space="preserve">(a)</w:t>
      </w:r>
      <w:r>
        <w:t xml:space="preserve"> </w:t>
      </w:r>
      <w:r>
        <w:t xml:space="preserve">Form 6756, "Annual Employer Certification of Non-Contributing Service Providers", September 2021</w:t>
      </w:r>
      <w:r>
        <w:rPr>
          <w:b/>
          <w:i/>
          <w:u w:val="single"/>
        </w:rPr>
        <w:t xml:space="preserve">;</w:t>
      </w:r>
      <w:r>
        <w:t>[</w:t>
      </w:r>
      <w:r>
        <w:rPr>
          <w:b/>
          <w:i/>
          <w:strike w:val="true"/>
        </w:rPr>
        <w:t xml:space="preserve">.</w:t>
      </w:r>
      <w:r>
        <w:t>]</w:t>
      </w:r>
    </w:p>
    <w:p>
      <w:pPr>
        <w:pStyle w:val="kar_paragraph"/>
      </w:pPr>
      <w:r>
        <w:rPr>
          <w:b/>
          <w:u w:val="single"/>
        </w:rPr>
        <w:t xml:space="preserve">(b)</w:t>
      </w:r>
      <w:r>
        <w:t xml:space="preserve"> </w:t>
      </w:r>
      <w:r>
        <w:t xml:space="preserve">Internal Revenue Service Publication 1779, "Independent Contractor or Employee", March 2012</w:t>
      </w:r>
      <w:r>
        <w:rPr>
          <w:b/>
          <w:i/>
          <w:u w:val="single"/>
        </w:rPr>
        <w:t xml:space="preserve">; and</w:t>
      </w:r>
    </w:p>
    <w:p>
      <w:pPr>
        <w:pStyle w:val="kar_paragraph"/>
      </w:pPr>
      <w:r>
        <w:rPr>
          <w:b/>
          <w:i/>
          <w:u w:val="single"/>
        </w:rPr>
        <w:t xml:space="preserve">(c)</w:t>
      </w:r>
      <w:r>
        <w:t xml:space="preserve"> </w:t>
      </w:r>
      <w:r>
        <w:rPr>
          <w:b/>
          <w:i/>
          <w:u w:val="single"/>
        </w:rPr>
        <w:t xml:space="preserve">Form 4225, "Verification of Past Employment", April 2021</w:t>
      </w:r>
      <w:r>
        <w:t xml:space="preserv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p>
      <w:pPr>
        <w:pStyle w:val="kar_normal"/>
      </w:pPr>
      <w:r>
        <w:t xml:space="preserve"/>
      </w:r>
    </w:p>
    <w:p>
      <w:pPr>
        <w:pStyle w:val="kar_filed"/>
      </w:pPr>
      <w:r>
        <w:t xml:space="preserve">FILED WITH LRC: January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Jessica Beaubien, Policy Specialist, Kentucky Public Pensions Authority, 1260 Louisville Road, Frankfort, Kentucky 40601, phone (502) 696-8570, fax (502) 696-8801,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0c856a664b4782" /><Relationship Type="http://schemas.openxmlformats.org/officeDocument/2006/relationships/settings" Target="/word/settings.xml" Id="R9e3146275e7347fb" /></Relationships>
</file>