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4eb888eddc4c67" /></Relationships>
</file>

<file path=word/document.xml><?xml version="1.0" encoding="utf-8"?>
<w:document xmlns:w="http://schemas.openxmlformats.org/wordprocessingml/2006/main">
  <w:body>
    <w:p>
      <w:pPr>
        <w:pStyle w:val="kar_citation"/>
      </w:pPr>
      <w:r>
        <w:t>725 KAR 1:030.</w:t>
      </w:r>
      <w:r>
        <w:t xml:space="preserve"> </w:t>
      </w:r>
      <w:r>
        <w:t xml:space="preserve">Scheduling public records for retention and disposal; procedures.</w:t>
      </w:r>
    </w:p>
    <w:p>
      <w:pPr>
        <w:pStyle w:val="kar_markup_metadata"/>
      </w:pPr>
      <w:r>
        <w:t xml:space="preserve">RELATES TO: </w:t>
      </w:r>
      <w:r>
        <w:t xml:space="preserve">KRS 171.450</w:t>
      </w:r>
    </w:p>
    <w:p>
      <w:pPr>
        <w:pStyle w:val="kar_markup_metadata"/>
      </w:pPr>
      <w:r>
        <w:t xml:space="preserve">STATUTORY AUTHORITY: </w:t>
      </w:r>
      <w:r>
        <w:t xml:space="preserve">KRS 171.450, 171.580</w:t>
      </w:r>
    </w:p>
    <w:p>
      <w:pPr>
        <w:pStyle w:val="kar_markup_metadata"/>
      </w:pPr>
      <w:r>
        <w:t xml:space="preserve">NECESSITY, FUNCTION, AND CONFORMITY: </w:t>
      </w:r>
      <w:r>
        <w:t xml:space="preserve">KRS 171.450(1)(a) and (b) require the department to establish procedures for the compilation and submission to the department of lists and schedules of public records proposed for disposal and to establish procedures for the disposal or destruction of public records authorized for disposal or destruction. KRS 171.580 authorizes the department to accept for deposit in the State Archives Center the records of any state or local agency that are determined by the department to have sufficient historical or other value. This administrative regulation establishes provisions for the retention and disposal of public records.</w:t>
      </w:r>
    </w:p>
    <w:p>
      <w:pPr>
        <w:pStyle w:val="kar_section"/>
      </w:pPr>
      <w:r>
        <w:t xml:space="preserve">Section 1.</w:t>
      </w:r>
      <w:r>
        <w:t xml:space="preserve"> </w:t>
      </w:r>
      <w:r>
        <w:t xml:space="preserve">State and local agencies follow the procedures for scheduling public records for retention and disposal described in Records Retention Scheduling: A Procedural Guide.</w:t>
      </w:r>
    </w:p>
    <w:p>
      <w:pPr>
        <w:pStyle w:val="kar_section"/>
      </w:pPr>
      <w:r>
        <w:t xml:space="preserve">Section 2.</w:t>
      </w:r>
      <w:r>
        <w:t xml:space="preserve"> </w:t>
      </w:r>
      <w:r>
        <w:t xml:space="preserve">State and local agencies shall follow the procedures for disposing of eligible public records described in Destruction of Public Records: A Procedural Guide.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"Records Retention Scheduling: A Procedural Guide", July 2008; and</w:t>
      </w:r>
    </w:p>
    <w:p>
      <w:pPr>
        <w:pStyle w:val="kar_paragraph"/>
      </w:pPr>
      <w:r>
        <w:t xml:space="preserve">(b)</w:t>
      </w:r>
      <w:r>
        <w:t xml:space="preserve"> </w:t>
      </w:r>
      <w:r>
        <w:t xml:space="preserve">"Destruction of Public Records: A Procedural Guide", July 2008.</w:t>
      </w:r>
    </w:p>
    <w:p>
      <w:pPr>
        <w:pStyle w:val="kar_subsection"/>
      </w:pPr>
      <w:r>
        <w:t xml:space="preserve">(2)</w:t>
      </w:r>
      <w:r>
        <w:t xml:space="preserve"> </w:t>
      </w:r>
      <w:r>
        <w:t xml:space="preserve">This material may be inspected, copied, or obtained, subject to applicable copyright law, at Division of Archives and Records Management, Kentucky Department for Libraries and Archives, 300 Coffee Tree Road, Frankfort, Kentucky 40601, Monday through Friday, 9:00 a.m. to 4:00 p.m.</w:t>
      </w:r>
    </w:p>
    <w:p>
      <w:pPr>
        <w:pStyle w:val="kar_history"/>
        <w:sectPr>
          <w:pgSz w:w="12240" w:h="15840" w:orient="portrait" w:code="1"/>
          <w:pgMar w:top="1080" w:right="1080" w:bottom="1080" w:left="1080" w:header="720" w:footer="720" w:gutter="0"/>
          <w:paperSrc w:first="263" w:other="263"/>
          <w:noEndnote/>
          <w:docGrid w:linePitch="218"/>
        </w:sectPr>
      </w:pPr>
      <w:r>
        <w:t xml:space="preserve">(2 Ky.R. 536; eff. 7-7-1976; 34 Ky.R. 398; 792; 982; eff. 12-7-2007; 35 Ky.R. 398; 820; eff. 10-31-2008; 48 Ky.R. 561; 2214; eff. 5-3-2022;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bbca194e4c467c" /><Relationship Type="http://schemas.openxmlformats.org/officeDocument/2006/relationships/settings" Target="/word/settings.xml" Id="Rf5abf3ecdf434575" /></Relationships>
</file>