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c44ffa7aa7410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w:t>
      </w:r>
      <w:r>
        <w:t>[</w:t>
      </w:r>
      <w:r>
        <w:rPr>
          <w:strike w:val="true"/>
        </w:rPr>
        <w:t xml:space="preserve">as registered </w:t>
      </w:r>
      <w:r>
        <w:t>]</w:t>
      </w:r>
      <w:r>
        <w:t xml:space="preserve">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w:t>
      </w:r>
      <w:r>
        <w:t>[</w:t>
      </w:r>
      <w:r>
        <w:rPr>
          <w:strike w:val="true"/>
        </w:rPr>
        <w:t xml:space="preserve">201 KAR 20:</w:t>
      </w:r>
      <w:r>
        <w:t>]</w:t>
      </w:r>
      <w:r>
        <w:t xml:space="preserve">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t>
      </w:r>
      <w:r>
        <w:rPr>
          <w:u w:val="single"/>
        </w:rPr>
        <w:t xml:space="preserve">within the standard length of the program of nursing.</w:t>
      </w:r>
      <w:r>
        <w:t>[</w:t>
      </w:r>
      <w:r>
        <w:rPr>
          <w:strike w:val="true"/>
        </w:rPr>
        <w:t xml:space="preserve">within the maximum time frame allowed for completion. The maximum time frame shall be determined by multiplying the standard program length for normally progressing students by one and five-tenths (1.5). Calculation of</w:t>
      </w:r>
      <w:r>
        <w:t>]</w:t>
      </w:r>
      <w:r>
        <w:t xml:space="preserve"> The graduation rate shall </w:t>
      </w:r>
      <w:r>
        <w:t>[</w:t>
      </w:r>
      <w:r>
        <w:rPr>
          <w:strike w:val="true"/>
        </w:rPr>
        <w:t xml:space="preserve">include</w:t>
      </w:r>
      <w:r>
        <w:t>]</w:t>
      </w:r>
      <w:r>
        <w:rPr>
          <w:u w:val="single"/>
        </w:rPr>
        <w:t xml:space="preserve">be calculated by comparing the number of</w:t>
      </w:r>
      <w:r>
        <w:t xml:space="preserve"> students who </w:t>
      </w:r>
      <w:r>
        <w:rPr>
          <w:u w:val="single"/>
        </w:rPr>
        <w:t xml:space="preserve">started in each graduating cohort within the reporting period to those who graduated on time from the cohort.</w:t>
      </w:r>
      <w:r>
        <w:t>[</w:t>
      </w:r>
      <w:r>
        <w:rPr>
          <w:strike w:val="true"/>
        </w:rPr>
        <w:t xml:space="preserve">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r>
        <w:t>]</w:t>
      </w:r>
      <w:r>
        <w:rPr>
          <w:u w:val="single"/>
        </w:rPr>
        <w:t xml:space="preserve"> The graduation rate calculation may exclude students who have left the program of nursing due to documented extenuating circumstances, such as hospitalization, long-term illness, family obligations, relocation, financial barriers, or decisions to change major or transfer to another institution</w:t>
      </w:r>
      <w:r>
        <w:t xml:space="preserve">;</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r>
        <w:t>[</w:t>
      </w:r>
      <w:r>
        <w:rPr>
          <w:strike w:val="true"/>
        </w:rPr>
        <w:t xml:space="preserve"> at www.kbn.gov</w:t>
      </w:r>
      <w:r>
        <w:t>]</w:t>
      </w:r>
      <w:r>
        <w:t xml:space="preserv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w:t>
      </w:r>
      <w:r>
        <w:rPr>
          <w:u w:val="single"/>
        </w:rPr>
        <w:t xml:space="preserve">10/22</w:t>
      </w:r>
      <w:r>
        <w:t>[</w:t>
      </w:r>
      <w:r>
        <w:rPr>
          <w:strike w:val="true"/>
        </w:rPr>
        <w:t xml:space="preserve">10/18</w:t>
      </w:r>
      <w:r>
        <w:t>]</w:t>
      </w:r>
      <w:r>
        <w:t xml:space="preserve">,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signature"/>
      </w:pPr>
      <w:r>
        <w:t xml:space="preserve">AUDRIA DENKER, Board President</w:t>
      </w:r>
    </w:p>
    <w:p>
      <w:pPr>
        <w:pStyle w:val="kar_normal"/>
      </w:pPr>
      <w:r>
        <w:t xml:space="preserve"/>
      </w:r>
    </w:p>
    <w:p>
      <w:pPr>
        <w:pStyle w:val="kar_approved_by"/>
      </w:pPr>
      <w:r>
        <w:t xml:space="preserve">APPROVED BY AGENCY: January 30, 2023</w:t>
      </w:r>
    </w:p>
    <w:p>
      <w:pPr>
        <w:pStyle w:val="kar_filed"/>
      </w:pPr>
      <w:r>
        <w:t xml:space="preserve">FILED WITH LRC: February 10, 2023 at 10:45 a.m.</w:t>
      </w:r>
    </w:p>
    <w:p>
      <w:pPr>
        <w:pStyle w:val="kar_normal"/>
      </w:pPr>
      <w:r>
        <w:t xml:space="preserve"/>
      </w:r>
    </w:p>
    <w:p>
      <w:pPr>
        <w:pStyle w:val="kar_comment_period"/>
      </w:pPr>
      <w:r>
        <w:t xml:space="preserve">PUBLIC HEARING AND PUBLIC COMMENT PERIOD: A public hearing on this administrative regulation shall be held on April 24, 2023 at 10:00 a.m. at Kentucky Board of Nursing, 312 Whittington Parkway, Ste 300, Louisville, Kentucky 40222. Individuals interested in being heard at this hearing shall notify this agency in writing by April 17,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standards for continued approval of programs of nursing.</w:t>
      </w:r>
    </w:p>
    <w:p>
      <w:pPr>
        <w:pStyle w:val="kar_normal"/>
        <w:ind w:left="576"/>
      </w:pPr>
      <w:r>
        <w:t xml:space="preserve">(b) The necessity of this administrative regulation:</w:t>
      </w:r>
    </w:p>
    <w:p>
      <w:pPr>
        <w:pStyle w:val="kar_normal"/>
        <w:ind w:left="720"/>
      </w:pPr>
      <w:r>
        <w:t xml:space="preserve">It is required by KRS 314.111.</w:t>
      </w:r>
    </w:p>
    <w:p>
      <w:pPr>
        <w:pStyle w:val="kar_normal"/>
        <w:ind w:left="576"/>
      </w:pPr>
      <w:r>
        <w:t xml:space="preserve">(c) How this administrative regulation conforms to the content of the authorizing statutes:</w:t>
      </w:r>
    </w:p>
    <w:p>
      <w:pPr>
        <w:pStyle w:val="kar_normal"/>
        <w:ind w:left="720"/>
      </w:pPr>
      <w:r>
        <w:t xml:space="preserve">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updates the Annual Report and how the on-time graduation rate will be calculated by prelicensure programs of nursing.</w:t>
      </w:r>
    </w:p>
    <w:p>
      <w:pPr>
        <w:pStyle w:val="kar_normal"/>
        <w:ind w:left="576"/>
      </w:pPr>
      <w:r>
        <w:t xml:space="preserve">(b) The necessity of the amendment to this administrative regulation:</w:t>
      </w:r>
    </w:p>
    <w:p>
      <w:pPr>
        <w:pStyle w:val="kar_normal"/>
        <w:ind w:left="720"/>
      </w:pPr>
      <w:r>
        <w:t xml:space="preserve">To bring the annual reporting requirements into alignment with other compact states and the National Council of State Boards of Nursing (NCSBN).</w:t>
      </w:r>
    </w:p>
    <w:p>
      <w:pPr>
        <w:pStyle w:val="kar_normal"/>
        <w:ind w:left="576"/>
      </w:pPr>
      <w:r>
        <w:t xml:space="preserve">(c) How the amendment conforms to the content of the authorizing statutes:</w:t>
      </w:r>
    </w:p>
    <w:p>
      <w:pPr>
        <w:pStyle w:val="kar_normal"/>
        <w:ind w:left="720"/>
      </w:pPr>
      <w:r>
        <w:t xml:space="preserve">KRS 314.111 requires the Board to set standards and the annual report provides data regarding those standards.</w:t>
      </w:r>
    </w:p>
    <w:p>
      <w:pPr>
        <w:pStyle w:val="kar_normal"/>
        <w:ind w:left="576"/>
      </w:pPr>
      <w:r>
        <w:t xml:space="preserve">(d) How the amendment will assist in the effective administration of the statutes:</w:t>
      </w:r>
    </w:p>
    <w:p>
      <w:pPr>
        <w:pStyle w:val="kar_normal"/>
        <w:ind w:left="720"/>
      </w:pPr>
      <w:r>
        <w:t xml:space="preserve">By streamlining and standardizing reporting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80 approved pre-licensure nursing programs in the state of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form of reporting is being updated, but the reporting requirement is the same.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The new report will streamlined and simplify the reporting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will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314.111, 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Cannot be determined.</w:t>
      </w:r>
    </w:p>
    <w:p>
      <w:pPr>
        <w:pStyle w:val="kar_normal"/>
        <w:ind w:left="576"/>
      </w:pPr>
      <w:r>
        <w:t xml:space="preserve">(a) How much cost savings will this administrative regulation generate for the regulated entities for the first year?</w:t>
      </w:r>
    </w:p>
    <w:p>
      <w:pPr>
        <w:pStyle w:val="kar_normal"/>
        <w:ind w:left="720"/>
      </w:pPr>
      <w:r>
        <w:t xml:space="preserve">Cannot be determined.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Cannot be determined.</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Difficult to estimate, but working time, materials, and energy spent producing annual report should be reduced.</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cb56acbd884784" /><Relationship Type="http://schemas.openxmlformats.org/officeDocument/2006/relationships/settings" Target="/word/settings.xml" Id="R9cadab1cfa7148a5" /></Relationships>
</file>