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14921562754791" /></Relationships>
</file>

<file path=word/document.xml><?xml version="1.0" encoding="utf-8"?>
<w:document xmlns:w="http://schemas.openxmlformats.org/wordprocessingml/2006/main">
  <w:body>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 (4)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printable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shall not receive a permit; or</w:t>
      </w:r>
    </w:p>
    <w:p>
      <w:pPr>
        <w:pStyle w:val="kar_subparagraph"/>
      </w:pPr>
      <w:r>
        <w:t xml:space="preserve">2.</w:t>
      </w:r>
      <w:r>
        <w:t xml:space="preserve"> </w:t>
      </w:r>
      <w:r>
        <w:t xml:space="preserve">Is less than the maximum number of tags available, then the additional tags shall be assigned to applicants in the order of ranking until all tags are assigned;</w:t>
      </w:r>
    </w:p>
    <w:p>
      <w:pPr>
        <w:pStyle w:val="kar_paragraph"/>
      </w:pPr>
      <w:r>
        <w:t xml:space="preserve">(c)</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 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or electronic copy of a valid crane hunting permit, available via the customer's profile on the department's Web site at https://app.fw.ky.gov/Myprofile/default.aspx or mobile application:</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printable tag to the leg of the crane prior to moving the carcass. The department-issued tags shall be available for print via the customer's profile on the department's Web site at https://app.fw.ky.gov/Myprofile/default.aspx or mobile application.</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history"/>
        <w:sectPr>
          <w:pgSz w:w="12240" w:h="15840" w:orient="portrait" w:code="1"/>
          <w:pgMar w:top="1080" w:right="1080" w:bottom="1080" w:left="1080" w:header="720" w:footer="720" w:gutter="0"/>
          <w:paperSrc w:first="263" w:other="263"/>
          <w:noEndnote/>
          <w:docGrid w:linePitch="218"/>
        </w:sectPr>
      </w:pPr>
      <w:r>
        <w:t xml:space="preserve"> (38 Ky.R. 168; 789; eff. 11-3-2011; 44 Ky.R. 2380; 45 Ky.R. 341; eff. 8-6-2018; 47 Ky.R. 2469; eff. 8-5-2021; 49 Ky.R. 1350, 1764;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77685d382d4b93" /><Relationship Type="http://schemas.openxmlformats.org/officeDocument/2006/relationships/settings" Target="/word/settings.xml" Id="Radf27e61145a4d9a" /></Relationships>
</file>