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9885c3424e46ef"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(Amended at ARRS Committee)</w:t>
      </w:r>
    </w:p>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w:t>
      </w:r>
      <w:r>
        <w:rPr>
          <w:b/>
          <w:i/>
          <w:strike w:val="true"/>
        </w:rPr>
        <w:t xml:space="preserve">"</w:t>
      </w:r>
      <w:r>
        <w:t>]</w:t>
      </w:r>
      <w:r>
        <w:t xml:space="preserve">Refugee</w:t>
      </w:r>
      <w:r>
        <w:t>[</w:t>
      </w:r>
      <w:r>
        <w:rPr>
          <w:b/>
          <w:i/>
          <w:strike w:val="true"/>
        </w:rPr>
        <w:t xml:space="preserve">"</w:t>
      </w:r>
      <w:r>
        <w:t>]</w:t>
      </w:r>
      <w:r>
        <w:t xml:space="preserve">;</w:t>
      </w:r>
    </w:p>
    <w:p>
      <w:pPr>
        <w:pStyle w:val="kar_clause"/>
      </w:pPr>
      <w:r>
        <w:t xml:space="preserve">b.</w:t>
      </w:r>
      <w:r>
        <w:t xml:space="preserve"> </w:t>
      </w:r>
      <w:r>
        <w:t>[</w:t>
      </w:r>
      <w:r>
        <w:rPr>
          <w:b/>
          <w:i/>
          <w:strike w:val="true"/>
        </w:rPr>
        <w:t xml:space="preserve">"</w:t>
      </w:r>
      <w:r>
        <w:t>]</w:t>
      </w:r>
      <w:r>
        <w:t xml:space="preserve">Asylum granted</w:t>
      </w:r>
      <w:r>
        <w:t>[</w:t>
      </w:r>
      <w:r>
        <w:rPr>
          <w:b/>
          <w:i/>
          <w:strike w:val="true"/>
        </w:rPr>
        <w:t xml:space="preserve">"</w:t>
      </w:r>
      <w:r>
        <w:t>]</w:t>
      </w:r>
      <w:r>
        <w:t xml:space="preserve">;</w:t>
      </w:r>
    </w:p>
    <w:p>
      <w:pPr>
        <w:pStyle w:val="kar_clause"/>
      </w:pPr>
      <w:r>
        <w:t xml:space="preserve">c.</w:t>
      </w:r>
      <w:r>
        <w:t xml:space="preserve"> </w:t>
      </w:r>
      <w:r>
        <w:t>[</w:t>
      </w:r>
      <w:r>
        <w:rPr>
          <w:b/>
          <w:i/>
          <w:strike w:val="true"/>
        </w:rPr>
        <w:t xml:space="preserve">"</w:t>
      </w:r>
      <w:r>
        <w:t>]</w:t>
      </w:r>
      <w:r>
        <w:t xml:space="preserve">Indefinite parole</w:t>
      </w:r>
      <w:r>
        <w:t>[</w:t>
      </w:r>
      <w:r>
        <w:rPr>
          <w:b/>
          <w:i/>
          <w:strike w:val="true"/>
        </w:rPr>
        <w:t xml:space="preserve">"</w:t>
      </w:r>
      <w:r>
        <w:t>]</w:t>
      </w:r>
      <w:r>
        <w:t xml:space="preserve"> or </w:t>
      </w:r>
      <w:r>
        <w:t>[</w:t>
      </w:r>
      <w:r>
        <w:rPr>
          <w:b/>
          <w:i/>
          <w:strike w:val="true"/>
        </w:rPr>
        <w:t xml:space="preserve">"</w:t>
      </w:r>
      <w:r>
        <w:t>]</w:t>
      </w:r>
      <w:r>
        <w:t xml:space="preserve">humanitarian parole</w:t>
      </w:r>
      <w:r>
        <w:t>[</w:t>
      </w:r>
      <w:r>
        <w:rPr>
          <w:b/>
          <w:i/>
          <w:strike w:val="true"/>
        </w:rPr>
        <w:t xml:space="preserve">"</w:t>
      </w:r>
      <w:r>
        <w:t>]</w:t>
      </w:r>
      <w:r>
        <w:t xml:space="preserve">; or</w:t>
      </w:r>
    </w:p>
    <w:p>
      <w:pPr>
        <w:pStyle w:val="kar_clause"/>
      </w:pPr>
      <w:r>
        <w:t xml:space="preserve">d.</w:t>
      </w:r>
      <w:r>
        <w:t xml:space="preserve"> </w:t>
      </w:r>
      <w:r>
        <w:t>[</w:t>
      </w:r>
      <w:r>
        <w:rPr>
          <w:b/>
          <w:i/>
          <w:strike w:val="true"/>
        </w:rPr>
        <w:t xml:space="preserve">"</w:t>
      </w:r>
      <w:r>
        <w:t>]</w:t>
      </w:r>
      <w:r>
        <w:t xml:space="preserve">Cuban-Haitian entrant</w:t>
      </w:r>
      <w:r>
        <w:t>[</w:t>
      </w:r>
      <w:r>
        <w:rPr>
          <w:b/>
          <w:i/>
          <w:strike w:val="true"/>
        </w:rPr>
        <w:t xml:space="preserve">"</w:t>
      </w:r>
      <w:r>
        <w:t>]</w:t>
      </w:r>
      <w:r>
        <w:t xml:space="preserve">; </w:t>
      </w:r>
      <w:r>
        <w:rPr>
          <w:u w:val="single"/>
        </w:rPr>
        <w:t xml:space="preserve">or</w:t>
      </w:r>
      <w:r>
        <w:t>[</w:t>
      </w:r>
      <w:r>
        <w:rPr>
          <w:strike w:val="true"/>
        </w:rPr>
        <w:t xml:space="preserve">and</w:t>
      </w:r>
      <w:r>
        <w:t>]</w:t>
      </w:r>
    </w:p>
    <w:p>
      <w:pPr>
        <w:pStyle w:val="kar_subparagraph"/>
      </w:pPr>
      <w:r>
        <w:rPr>
          <w:u w:val="single"/>
        </w:rPr>
        <w:t xml:space="preserve">4.</w:t>
      </w:r>
      <w:r>
        <w:t xml:space="preserve"> </w:t>
      </w:r>
      <w:r>
        <w:rPr>
          <w:u w:val="single"/>
        </w:rPr>
        <w:t xml:space="preserve">A citizen of:</w:t>
      </w:r>
    </w:p>
    <w:p>
      <w:pPr>
        <w:pStyle w:val="kar_clause"/>
      </w:pPr>
      <w:r>
        <w:rPr>
          <w:u w:val="single"/>
        </w:rPr>
        <w:t xml:space="preserve">a.</w:t>
      </w:r>
      <w:r>
        <w:t xml:space="preserve"> </w:t>
      </w:r>
      <w:r>
        <w:rPr>
          <w:u w:val="single"/>
        </w:rPr>
        <w:t xml:space="preserve">The Freely Associated States;</w:t>
      </w:r>
    </w:p>
    <w:p>
      <w:pPr>
        <w:pStyle w:val="kar_clause"/>
      </w:pPr>
      <w:r>
        <w:rPr>
          <w:u w:val="single"/>
        </w:rPr>
        <w:t xml:space="preserve">b.</w:t>
      </w:r>
      <w:r>
        <w:t xml:space="preserve"> </w:t>
      </w:r>
      <w:r>
        <w:rPr>
          <w:u w:val="single"/>
        </w:rPr>
        <w:t xml:space="preserve">The Federated States of Micronesia;</w:t>
      </w:r>
    </w:p>
    <w:p>
      <w:pPr>
        <w:pStyle w:val="kar_clause"/>
      </w:pPr>
      <w:r>
        <w:rPr>
          <w:u w:val="single"/>
        </w:rPr>
        <w:t xml:space="preserve">c.</w:t>
      </w:r>
      <w:r>
        <w:t xml:space="preserve"> </w:t>
      </w:r>
      <w:r>
        <w:rPr>
          <w:u w:val="single"/>
        </w:rPr>
        <w:t xml:space="preserve">The Republic of Palau; or</w:t>
      </w:r>
    </w:p>
    <w:p>
      <w:pPr>
        <w:pStyle w:val="kar_clause"/>
      </w:pPr>
      <w:r>
        <w:rPr>
          <w:u w:val="single"/>
        </w:rPr>
        <w:t xml:space="preserve">d.</w:t>
      </w:r>
      <w:r>
        <w:t xml:space="preserve"> </w:t>
      </w:r>
      <w:r>
        <w:rPr>
          <w:u w:val="single"/>
        </w:rP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w:t>
      </w:r>
      <w:r>
        <w:t>[</w:t>
      </w:r>
      <w:r>
        <w:rPr>
          <w:strike w:val="true"/>
        </w:rPr>
        <w:t xml:space="preserve">or</w:t>
      </w:r>
      <w:r>
        <w:t>]</w:t>
      </w:r>
    </w:p>
    <w:p>
      <w:pPr>
        <w:pStyle w:val="kar_subparagraph"/>
      </w:pPr>
      <w:r>
        <w:t xml:space="preserve">3.</w:t>
      </w:r>
      <w:r>
        <w:t xml:space="preserve"> </w:t>
      </w:r>
      <w:r>
        <w:t xml:space="preserve">G series visa</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 Miles F. Justice, General Counsel, Kentucky Higher Education Assistance Authority, P.O. Box 798, Frankfort, Kentucky 40602-0798, phone (502) 696-7309, Email mjustice@kheaa.com, fax (502) 696-7293.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9699ee4464e45" /><Relationship Type="http://schemas.openxmlformats.org/officeDocument/2006/relationships/settings" Target="/word/settings.xml" Id="R0b0fd591302f46a4" /></Relationships>
</file>