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3b2bed81e542f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787 KAR 1:070.</w:t>
      </w:r>
      <w:r>
        <w:t xml:space="preserve"> </w:t>
      </w:r>
      <w:r>
        <w:t xml:space="preserve">Reasonable time for protesting claim.</w:t>
      </w:r>
    </w:p>
    <w:p>
      <w:pPr>
        <w:pStyle w:val="kar_markup_metadata"/>
      </w:pPr>
      <w:r>
        <w:t xml:space="preserve">RELATES TO: </w:t>
      </w:r>
      <w:r>
        <w:t xml:space="preserve">KRS 341.370(3), 341.530(3)</w:t>
      </w:r>
    </w:p>
    <w:p>
      <w:pPr>
        <w:pStyle w:val="kar_markup_metadata"/>
      </w:pPr>
      <w:r>
        <w:t xml:space="preserve">STATUTORY AUTHORITY: </w:t>
      </w:r>
      <w:r>
        <w:t xml:space="preserve">KRS 151B.020, 341.115, 341.370(3), 341.530(3)</w:t>
      </w:r>
    </w:p>
    <w:p>
      <w:pPr>
        <w:pStyle w:val="kar_markup_metadata"/>
      </w:pPr>
      <w:r>
        <w:t xml:space="preserve">NECESSITY, FUNCTION, AND CONFORMITY: </w:t>
      </w:r>
      <w:r>
        <w:t xml:space="preserve">KRS 341.370(3) and 341.530(3) require the secretary to promulgate administrative regulations establishing what constitutes reasonable time within which an employer shall protest a claim by a former worker. This administrative regulation establishes the requirements for determining reasonable time.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 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Except as provided in Section 2 of this administrative regulation, the reasonable time referred to in KRS 341.370(3) or 341.530(3) shall not extend beyond the following: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If the employer submits by paper, documentation of the protest shall be received within ten (10) days after the date of the first notice to the employer from the office that a claim has been filed; or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If the employer submits electronically, documentation of the protest shall be received within twelve (12) days of the first notice to the employer from the office that a claim has been filed.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In computing the protest deadline in Section 1(1):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The day following the date of mailing of the notice shall be considered the first day; and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The date the employer's return notice is received by the office shall be determined as provided in 787 KAR 1:230.</w:t>
      </w:r>
    </w:p>
    <w:p>
      <w:pPr>
        <w:pStyle w:val="kar_section"/>
      </w:pPr>
      <w:r>
        <w:t xml:space="preserve">Section 2.</w:t>
      </w:r>
      <w:r>
        <w:t xml:space="preserve"> </w:t>
      </w:r>
      <w:r>
        <w:t xml:space="preserve"> 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If the employer is not the worker's most recent employer and has not received Form UI-412A as provided in 787 KAR 1:060, the reasonable time referred to in KRS 341.530(3) shall not extend beyond the following: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If the employer submits by paper, documentation of the protest shall be received within ten (10) days after the date of the first notice to the employer from the office that a claim has been filed; or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If the employer submits electronically, documentation of the protest shall be received within twelve (12) days of the first notice to the employer from the that a claim office has been filed.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In computing the protest deadline in subsection (1) of this section: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The day following the date of mailing of the notice shall be considered the first day; and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The date the employer's return notice is received by the office shall be determined as provided in 787 KAR 1:230.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(22 Ky.R. 460; 909; eff. 11-6-1995; 33 Ky.R. 2174; 3179; eff. 5-4-2007; 37 Ky.R. 2994; eff. 9-2-2011; 44 Ky.R. 934; eff. 12-1-2017; Cert eff. 2-24-2020; TAm eff. 11-10-2022.)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aaa26a9ec7e4932" /><Relationship Type="http://schemas.openxmlformats.org/officeDocument/2006/relationships/settings" Target="/word/settings.xml" Id="Rbc1120163b3b4fc7" /></Relationships>
</file>