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2b94a77e1248f6" /></Relationships>
</file>

<file path=word/document.xml><?xml version="1.0" encoding="utf-8"?>
<w:document xmlns:w="http://schemas.openxmlformats.org/wordprocessingml/2006/main">
  <w:body>
    <w:p>
      <w:pPr>
        <w:pStyle w:val="kar_citation"/>
      </w:pPr>
      <w:r>
        <w:t>803 KAR 2:312.</w:t>
      </w:r>
      <w:r>
        <w:t xml:space="preserve"> </w:t>
      </w:r>
      <w:r>
        <w:t xml:space="preserve">Compressed gas and compressed air equipment.</w:t>
      </w:r>
    </w:p>
    <w:p>
      <w:pPr>
        <w:pStyle w:val="kar_markup_metadata"/>
      </w:pPr>
      <w:r>
        <w:t xml:space="preserve">RELATES TO: </w:t>
      </w:r>
      <w:r>
        <w:t xml:space="preserve">KRS 338.051, 338.061, 29 C.F.R. 1910.169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compressed gas and compressed air equipment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the Secretary of Education and Labor, Commonwealth of Kentucky or Commissioner, Department of Workplace Standards, Education and Labor Cabinet.</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"Established federal standard" means any operative occupational safety and health standard established by an agency of the United States Government.</w:t>
      </w:r>
    </w:p>
    <w:p>
      <w:pPr>
        <w:pStyle w:val="kar_subsection"/>
      </w:pPr>
      <w:r>
        <w:t xml:space="preserve">(6)</w:t>
      </w:r>
      <w:r>
        <w:t xml:space="preserve"> </w:t>
      </w:r>
      <w:r>
        <w:t xml:space="preserve">"National consensus standard" is defined by KRS 338.015(9).</w:t>
      </w:r>
    </w:p>
    <w:p>
      <w:pPr>
        <w:pStyle w:val="kar_subsection"/>
      </w:pPr>
      <w:r>
        <w:t xml:space="preserve">(7)</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and the requirements of Section 3 of this administrative regulation, general industry shall comply with the federal requirements published by the Office of the Federal Register, National Archives and Records Services, General Services Administration; 29 C.F.R. 1910 Subpart M, Compressed Gas and Compressed Air Equipment.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1098; eff. 12-15-1989; 20 Ky.R. 2696; eff. 5-11-1994; 23 Ky.R. 1713; eff. 12-13-1996; TAm eff. 8-9-2007; TAm eff. 9-8-2011; 46 Ky.R. 2832, 47 Ky.R. 317; eff. 11-4-2020;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229b6fc2684cb6" /><Relationship Type="http://schemas.openxmlformats.org/officeDocument/2006/relationships/settings" Target="/word/settings.xml" Id="Rdfccd1f5437441c3" /></Relationships>
</file>