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57da60fc984b6d"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filed between January 27, 2020 and December 31, 2020, KRS 341.413 authorizes the secretary to waive overpayments of unemployment insurance benefits if the secretary, upon an alleged overpayment recipient's waiver request, finds the overpayment was made without fault on the part of the recipient and recovery would be contrary to equity and good conscience. Notwithstanding KRS 341.413, 2022 Ky. Acts ch. 199, Part 1D.7.(6) authorizes the secretary to waive an overpayment of benefits for unemployment insurance claims filed between January 27, 2020 and September 6, 2021. This administrative regulation establishes definitions and procedures for waiving overpayments pursuant to KRS Chapter 341, 341.413, and 2022 Ky. Acts ch. 199, Part 1D.7.(6).</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Education and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Education and Labor Cabinet.</w:t>
      </w:r>
    </w:p>
    <w:p>
      <w:pPr>
        <w:pStyle w:val="kar_section"/>
      </w:pPr>
      <w:r>
        <w:t xml:space="preserve">Section 2.</w:t>
      </w:r>
      <w:r>
        <w:t xml:space="preserve"> </w:t>
      </w:r>
      <w:r>
        <w:t xml:space="preserve">Waiver Request. An individual shall make a written 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alleged 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2768; 48 Ky.R. 800; eff. 11-30-2021; 48 Ky.R. 3041; 49 Ky.R.563; eff. 12-6-2022; TAm eff. 12-6-2022.)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1ad8e32624af2" /><Relationship Type="http://schemas.openxmlformats.org/officeDocument/2006/relationships/settings" Target="/word/settings.xml" Id="Rb602710fba97425d" /></Relationships>
</file>