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1534738eb9436c" /></Relationships>
</file>

<file path=word/document.xml><?xml version="1.0" encoding="utf-8"?>
<w:document xmlns:w="http://schemas.openxmlformats.org/wordprocessingml/2006/main">
  <w:body>
    <w:p>
      <w:pPr>
        <w:pStyle w:val="kar_citation"/>
      </w:pPr>
      <w:r>
        <w:t>803 KAR 2:405.</w:t>
      </w:r>
      <w:r>
        <w:t xml:space="preserve"> </w:t>
      </w:r>
      <w:r>
        <w:t xml:space="preserve">Fire protection and prevention.</w:t>
      </w:r>
    </w:p>
    <w:p>
      <w:pPr>
        <w:pStyle w:val="kar_markup_metadata"/>
      </w:pPr>
      <w:r>
        <w:t xml:space="preserve">RELATES TO: </w:t>
      </w:r>
      <w:r>
        <w:t xml:space="preserve">KRS 338.051(3), 338.061, 29 C.F.R. 1926.150-159</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Secretary, Education and Labor Cabinet or Commissioner, Department of Workplace Standards, Education and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338.0151(1).</w:t>
      </w:r>
    </w:p>
    <w:p>
      <w:pPr>
        <w:pStyle w:val="kar_section"/>
      </w:pPr>
      <w:r>
        <w:t xml:space="preserve">Section 2.</w:t>
      </w:r>
      <w:r>
        <w:t xml:space="preserve"> </w:t>
      </w:r>
      <w:r>
        <w:t xml:space="preserve">Except as established in Section 1 of this administrative regulation, the construction industry shall comply with 29 C.F.R. 1926 Subpart F, Fire Protection and Prevention published in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710; eff. 12-15-1989; 20 Ky.R. 2711; eff. 5-11-1994; 23 Ky.R. 3946; eff. 7-17-1997; 25 Ky.R. 2459; eff. 6-16-1999; TAm eff. 9-8-2011; 38 Ky.R. 2040; 39 Ky.R. 217; eff. 8-31-2012; 47 Ky.R. 1636, 2380; eff. 8-3-2021;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af7f80226e4344" /><Relationship Type="http://schemas.openxmlformats.org/officeDocument/2006/relationships/settings" Target="/word/settings.xml" Id="Rf019c059366b42a9" /></Relationships>
</file>