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b4281398ed4b2d" /></Relationships>
</file>

<file path=word/document.xml><?xml version="1.0" encoding="utf-8"?>
<w:document xmlns:w="http://schemas.openxmlformats.org/wordprocessingml/2006/main">
  <w:body>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jc w:val="center"/>
            </w:pPr>
            <w:r>
              <w:t xml:space="preserve">Months of Service</w:t>
            </w:r>
          </w:p>
        </w:tc>
        <w:tc>
          <w:tcPr/>
          <w:p>
            <w:pPr>
              <w:pStyle w:val="kar_table_cell"/>
              <w:jc w:val="center"/>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jc w:val="center"/>
            </w:pPr>
            <w:r>
              <w:t xml:space="preserve">Months of Service</w:t>
            </w:r>
          </w:p>
        </w:tc>
        <w:tc>
          <w:tcPr/>
          <w:p>
            <w:pPr>
              <w:pStyle w:val="kar_table_cell"/>
              <w:jc w:val="center"/>
            </w:pPr>
            <w:r>
              <w:t xml:space="preserve">Maximum Amount</w:t>
            </w:r>
          </w:p>
        </w:tc>
        <w:tc>
          <w:tcPr/>
          <w:p>
            <w:pPr>
              <w:pStyle w:val="kar_table_cell"/>
              <w:jc w:val="center"/>
            </w:pPr>
            <w:r>
              <w:t xml:space="preserve">37.5 Hour Week Equivalent</w:t>
            </w:r>
          </w:p>
        </w:tc>
        <w:tc>
          <w:tcPr/>
          <w:p>
            <w:pPr>
              <w:pStyle w:val="kar_table_cell"/>
              <w:jc w:val="center"/>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 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120- 179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180- 239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from initial probation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4,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shall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With prior notification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 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(4) and (5)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(5)</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(6)</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261; Am. 569; eff. 8-25-99; 1991; 27 Ky.R. 61; eff. 7-17-2000; 28 Ky.R. 1172; 1603; eff. 1-14-2002; 36 Ky.R. 416; 1002; eff. 12-4-2009; TAm eff. 5-4-2010; 38 Ky.R. 484; eff. 9-28-11; 38 Ky.R. 1171; eff. 7-6-2012; 39 Ky.R. 2365; 40 Ky.R. 261; eff. 9-6-13; 41 Ky.R. 2113; 2538; eff. 7-6-2015; 46 Ky.R. 558, 1080; eff. 11-1-2019; 48 Ky.R. 2797; 49 Ky.R. 549; eff. 9-27-2022; TAm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9025e71624bcf" /><Relationship Type="http://schemas.openxmlformats.org/officeDocument/2006/relationships/settings" Target="/word/settings.xml" Id="R00b74ab02b0d48d5" /></Relationships>
</file>